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6322" w:rsidRDefault="00EC6322" w:rsidP="00EC6322">
      <w:pPr>
        <w:spacing w:after="200" w:line="360" w:lineRule="auto"/>
        <w:ind w:firstLine="709"/>
        <w:jc w:val="center"/>
        <w:rPr>
          <w:rFonts w:ascii="Times New Roman" w:eastAsia="Arial" w:hAnsi="Times New Roman" w:cs="Times New Roman"/>
          <w:b/>
          <w:bCs/>
          <w:color w:val="000000"/>
          <w:sz w:val="28"/>
          <w:szCs w:val="28"/>
        </w:rPr>
      </w:pPr>
      <w:bookmarkStart w:id="0" w:name="_GoBack"/>
      <w:bookmarkEnd w:id="0"/>
      <w:r>
        <w:rPr>
          <w:rFonts w:ascii="Times New Roman" w:eastAsia="Arial" w:hAnsi="Times New Roman" w:cs="Times New Roman"/>
          <w:b/>
          <w:bCs/>
          <w:noProof/>
          <w:color w:val="000000"/>
          <w:sz w:val="28"/>
          <w:szCs w:val="28"/>
          <w:lang w:eastAsia="pt-BR" w:bidi="ar-SA"/>
        </w:rPr>
        <w:drawing>
          <wp:anchor distT="0" distB="0" distL="114300" distR="114300" simplePos="0" relativeHeight="251658240" behindDoc="0" locked="0" layoutInCell="1" allowOverlap="1">
            <wp:simplePos x="0" y="0"/>
            <wp:positionH relativeFrom="column">
              <wp:posOffset>2871470</wp:posOffset>
            </wp:positionH>
            <wp:positionV relativeFrom="paragraph">
              <wp:posOffset>-842010</wp:posOffset>
            </wp:positionV>
            <wp:extent cx="3552825" cy="838200"/>
            <wp:effectExtent l="19050" t="0" r="9525" b="0"/>
            <wp:wrapSquare wrapText="bothSides"/>
            <wp:docPr id="1" name="Imagem 0" descr="J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C.jpg"/>
                    <pic:cNvPicPr/>
                  </pic:nvPicPr>
                  <pic:blipFill>
                    <a:blip r:embed="rId7"/>
                    <a:stretch>
                      <a:fillRect/>
                    </a:stretch>
                  </pic:blipFill>
                  <pic:spPr>
                    <a:xfrm>
                      <a:off x="0" y="0"/>
                      <a:ext cx="3552825" cy="838200"/>
                    </a:xfrm>
                    <a:prstGeom prst="rect">
                      <a:avLst/>
                    </a:prstGeom>
                  </pic:spPr>
                </pic:pic>
              </a:graphicData>
            </a:graphic>
          </wp:anchor>
        </w:drawing>
      </w:r>
      <w:r>
        <w:rPr>
          <w:rFonts w:ascii="Times New Roman" w:eastAsia="Arial" w:hAnsi="Times New Roman" w:cs="Times New Roman"/>
          <w:b/>
          <w:bCs/>
          <w:noProof/>
          <w:color w:val="000000"/>
          <w:sz w:val="28"/>
          <w:szCs w:val="28"/>
          <w:lang w:eastAsia="pt-BR" w:bidi="ar-SA"/>
        </w:rPr>
        <w:drawing>
          <wp:anchor distT="0" distB="0" distL="114300" distR="114300" simplePos="0" relativeHeight="251659264" behindDoc="0" locked="0" layoutInCell="1" allowOverlap="1">
            <wp:simplePos x="0" y="0"/>
            <wp:positionH relativeFrom="column">
              <wp:posOffset>-681355</wp:posOffset>
            </wp:positionH>
            <wp:positionV relativeFrom="paragraph">
              <wp:posOffset>-842010</wp:posOffset>
            </wp:positionV>
            <wp:extent cx="3552825" cy="838200"/>
            <wp:effectExtent l="19050" t="0" r="9525" b="0"/>
            <wp:wrapSquare wrapText="bothSides"/>
            <wp:docPr id="2" name="Imagem 1" descr="SE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ICO.jpg"/>
                    <pic:cNvPicPr/>
                  </pic:nvPicPr>
                  <pic:blipFill>
                    <a:blip r:embed="rId8"/>
                    <a:stretch>
                      <a:fillRect/>
                    </a:stretch>
                  </pic:blipFill>
                  <pic:spPr>
                    <a:xfrm>
                      <a:off x="0" y="0"/>
                      <a:ext cx="3552825" cy="838200"/>
                    </a:xfrm>
                    <a:prstGeom prst="rect">
                      <a:avLst/>
                    </a:prstGeom>
                  </pic:spPr>
                </pic:pic>
              </a:graphicData>
            </a:graphic>
          </wp:anchor>
        </w:drawing>
      </w:r>
    </w:p>
    <w:p w:rsidR="004C5E1C" w:rsidRDefault="004C5E1C" w:rsidP="00EC6322">
      <w:pPr>
        <w:spacing w:after="200" w:line="360" w:lineRule="auto"/>
        <w:ind w:firstLine="709"/>
        <w:jc w:val="center"/>
        <w:rPr>
          <w:rFonts w:ascii="Times New Roman" w:eastAsia="Arial" w:hAnsi="Times New Roman" w:cs="Times New Roman"/>
          <w:b/>
          <w:bCs/>
          <w:color w:val="000000"/>
          <w:sz w:val="28"/>
          <w:szCs w:val="28"/>
        </w:rPr>
      </w:pPr>
      <w:r w:rsidRPr="00904D16">
        <w:rPr>
          <w:rFonts w:ascii="Times New Roman" w:eastAsia="Arial" w:hAnsi="Times New Roman" w:cs="Times New Roman"/>
          <w:b/>
          <w:bCs/>
          <w:color w:val="000000"/>
          <w:sz w:val="28"/>
          <w:szCs w:val="28"/>
        </w:rPr>
        <w:t>SAÚDE MENTAL EM CONTEXTO DE VULNERABILIDADE SOCIAL</w:t>
      </w:r>
    </w:p>
    <w:p w:rsidR="00EC6322" w:rsidRPr="00904D16" w:rsidRDefault="00EC6322" w:rsidP="00EC6322">
      <w:pPr>
        <w:spacing w:after="200" w:line="360" w:lineRule="auto"/>
        <w:ind w:firstLine="709"/>
        <w:jc w:val="center"/>
        <w:rPr>
          <w:rFonts w:hint="eastAsia"/>
        </w:rPr>
      </w:pPr>
    </w:p>
    <w:p w:rsidR="004C5E1C" w:rsidRPr="00EC6322" w:rsidRDefault="004C5E1C" w:rsidP="00EC6322">
      <w:pPr>
        <w:spacing w:line="360" w:lineRule="auto"/>
        <w:ind w:firstLine="709"/>
        <w:jc w:val="right"/>
        <w:rPr>
          <w:rFonts w:hint="eastAsia"/>
        </w:rPr>
      </w:pPr>
      <w:r w:rsidRPr="00EC6322">
        <w:rPr>
          <w:rFonts w:ascii="Times New Roman" w:eastAsia="Arial" w:hAnsi="Times New Roman" w:cs="Times New Roman"/>
          <w:bCs/>
          <w:color w:val="000000"/>
        </w:rPr>
        <w:t>Midiã de Itanhém Fernandes Martins</w:t>
      </w:r>
      <w:r w:rsidRPr="00EC6322">
        <w:rPr>
          <w:rStyle w:val="Refdenotaderodap1"/>
          <w:rFonts w:ascii="Times New Roman" w:eastAsia="Arial" w:hAnsi="Times New Roman" w:cs="Times New Roman"/>
          <w:bCs/>
          <w:color w:val="000000"/>
        </w:rPr>
        <w:footnoteReference w:id="2"/>
      </w:r>
      <w:r w:rsidRPr="00EC6322">
        <w:rPr>
          <w:rFonts w:ascii="Times New Roman" w:eastAsia="Arial" w:hAnsi="Times New Roman" w:cs="Times New Roman"/>
          <w:bCs/>
          <w:color w:val="000000"/>
        </w:rPr>
        <w:t xml:space="preserve"> Faculdade ICESP</w:t>
      </w:r>
    </w:p>
    <w:p w:rsidR="004C5E1C" w:rsidRPr="00EC6322" w:rsidRDefault="004C5E1C" w:rsidP="00EC6322">
      <w:pPr>
        <w:spacing w:line="360" w:lineRule="auto"/>
        <w:ind w:firstLine="709"/>
        <w:jc w:val="right"/>
        <w:rPr>
          <w:rFonts w:hint="eastAsia"/>
        </w:rPr>
      </w:pPr>
      <w:r w:rsidRPr="00EC6322">
        <w:rPr>
          <w:rFonts w:ascii="Times New Roman" w:eastAsia="Arial" w:hAnsi="Times New Roman" w:cs="Times New Roman"/>
          <w:bCs/>
          <w:color w:val="000000"/>
        </w:rPr>
        <w:t>Helen Fonseca de Souza da Costa Vale</w:t>
      </w:r>
      <w:r w:rsidRPr="00EC6322">
        <w:rPr>
          <w:rStyle w:val="Refdenotaderodap1"/>
          <w:rFonts w:ascii="Times New Roman" w:eastAsia="Arial" w:hAnsi="Times New Roman" w:cs="Times New Roman"/>
          <w:bCs/>
          <w:color w:val="000000"/>
        </w:rPr>
        <w:footnoteReference w:id="3"/>
      </w:r>
      <w:r w:rsidRPr="00EC6322">
        <w:rPr>
          <w:rFonts w:ascii="Times New Roman" w:eastAsia="Arial" w:hAnsi="Times New Roman" w:cs="Times New Roman"/>
          <w:bCs/>
          <w:color w:val="000000"/>
        </w:rPr>
        <w:t xml:space="preserve"> Faculdade ICESP</w:t>
      </w:r>
    </w:p>
    <w:p w:rsidR="004C5E1C" w:rsidRDefault="004C5E1C" w:rsidP="00EC6322">
      <w:pPr>
        <w:spacing w:after="200" w:line="360" w:lineRule="auto"/>
        <w:ind w:firstLine="709"/>
        <w:jc w:val="right"/>
        <w:rPr>
          <w:rFonts w:ascii="Times New Roman" w:eastAsia="Arial" w:hAnsi="Times New Roman" w:cs="Times New Roman"/>
          <w:bCs/>
          <w:color w:val="000000"/>
        </w:rPr>
      </w:pPr>
      <w:r w:rsidRPr="00EC6322">
        <w:rPr>
          <w:rFonts w:ascii="Times New Roman" w:eastAsia="Arial" w:hAnsi="Times New Roman" w:cs="Times New Roman"/>
          <w:bCs/>
          <w:color w:val="000000"/>
        </w:rPr>
        <w:t>Agência Financiadora: Faculdade ICESP-NEXT</w:t>
      </w:r>
    </w:p>
    <w:p w:rsidR="00EC6322" w:rsidRPr="00EC6322" w:rsidRDefault="00EC6322" w:rsidP="00EC6322">
      <w:pPr>
        <w:spacing w:after="200" w:line="360" w:lineRule="auto"/>
        <w:ind w:firstLine="709"/>
        <w:jc w:val="right"/>
        <w:rPr>
          <w:rFonts w:hint="eastAsia"/>
        </w:rPr>
      </w:pPr>
    </w:p>
    <w:p w:rsidR="004C5E1C" w:rsidRPr="00904D16" w:rsidRDefault="00EC6322" w:rsidP="00EC6322">
      <w:pPr>
        <w:spacing w:after="200" w:line="360" w:lineRule="auto"/>
        <w:jc w:val="both"/>
        <w:rPr>
          <w:rFonts w:hint="eastAsia"/>
        </w:rPr>
      </w:pPr>
      <w:r w:rsidRPr="00904D16">
        <w:rPr>
          <w:rFonts w:ascii="Times New Roman" w:eastAsia="Arial" w:hAnsi="Times New Roman" w:cs="Times New Roman"/>
          <w:b/>
          <w:bCs/>
          <w:color w:val="000000"/>
        </w:rPr>
        <w:t>RESUMO</w:t>
      </w:r>
    </w:p>
    <w:p w:rsidR="004C5E1C" w:rsidRDefault="004C5E1C" w:rsidP="00EC6322">
      <w:pPr>
        <w:tabs>
          <w:tab w:val="left" w:pos="1417"/>
          <w:tab w:val="center" w:pos="5128"/>
          <w:tab w:val="right" w:pos="9547"/>
        </w:tabs>
        <w:snapToGrid w:val="0"/>
        <w:spacing w:line="360" w:lineRule="auto"/>
        <w:jc w:val="both"/>
        <w:rPr>
          <w:rFonts w:ascii="Times New Roman" w:eastAsia="Arial" w:hAnsi="Times New Roman" w:cs="Times New Roman"/>
          <w:color w:val="000000"/>
          <w:shd w:val="clear" w:color="auto" w:fill="FFFFFF"/>
        </w:rPr>
      </w:pPr>
      <w:r w:rsidRPr="00904D16">
        <w:rPr>
          <w:rFonts w:ascii="Times New Roman" w:hAnsi="Times New Roman" w:cs="Times New Roman"/>
        </w:rPr>
        <w:t>O</w:t>
      </w:r>
      <w:r w:rsidRPr="00904D16">
        <w:rPr>
          <w:rFonts w:ascii="Times New Roman" w:hAnsi="Times New Roman" w:cs="Times New Roman"/>
          <w:color w:val="000000"/>
          <w:shd w:val="clear" w:color="auto" w:fill="FFFFFF"/>
        </w:rPr>
        <w:t xml:space="preserve"> presente projeto</w:t>
      </w:r>
      <w:r w:rsidRPr="00904D16">
        <w:rPr>
          <w:rFonts w:ascii="Times New Roman" w:eastAsia="Arial" w:hAnsi="Times New Roman" w:cs="Times New Roman"/>
          <w:color w:val="000000"/>
          <w:shd w:val="clear" w:color="auto" w:fill="FFFFFF"/>
        </w:rPr>
        <w:t xml:space="preserve"> de extensão </w:t>
      </w:r>
      <w:r w:rsidR="00904D16" w:rsidRPr="00904D16">
        <w:rPr>
          <w:rFonts w:ascii="Times New Roman" w:eastAsia="Arial" w:hAnsi="Times New Roman" w:cs="Times New Roman"/>
          <w:color w:val="000000"/>
          <w:shd w:val="clear" w:color="auto" w:fill="FFFFFF"/>
        </w:rPr>
        <w:t xml:space="preserve">vem sendo </w:t>
      </w:r>
      <w:r w:rsidRPr="00904D16">
        <w:rPr>
          <w:rFonts w:ascii="Times New Roman" w:eastAsia="Arial" w:hAnsi="Times New Roman" w:cs="Times New Roman"/>
          <w:color w:val="000000"/>
          <w:shd w:val="clear" w:color="auto" w:fill="FFFFFF"/>
        </w:rPr>
        <w:t>desenvolvido com o propósito de entender e fazer intervenções com o público adolescente que participa do Serviço de Convivência e Fortalecimento de Vínculos (SCFV) Tia Nair. Através da escuta proposta por rodas de conversa, entrevistas semiestruturadas, grupos focais e oficinas participativas, tentamos entender como os sujeitos vivenciam suas adolescências em contexto de vulnerabilidade, no intuito de auxiliar na construção do sujeito adolescente, bem como minimizar impactos causados pela vulnerabilidade na saúde mental. Este artigo</w:t>
      </w:r>
      <w:r w:rsidR="00904D16" w:rsidRPr="00904D16">
        <w:rPr>
          <w:rFonts w:ascii="Times New Roman" w:eastAsia="Arial" w:hAnsi="Times New Roman" w:cs="Times New Roman"/>
          <w:color w:val="000000"/>
          <w:shd w:val="clear" w:color="auto" w:fill="FFFFFF"/>
        </w:rPr>
        <w:t xml:space="preserve"> descreve</w:t>
      </w:r>
      <w:r w:rsidRPr="00904D16">
        <w:rPr>
          <w:rFonts w:ascii="Times New Roman" w:eastAsia="Arial" w:hAnsi="Times New Roman" w:cs="Times New Roman"/>
          <w:color w:val="000000"/>
          <w:shd w:val="clear" w:color="auto" w:fill="FFFFFF"/>
        </w:rPr>
        <w:t xml:space="preserve"> a experiência da primeira fase do projeto que encontra-se em andamento. </w:t>
      </w:r>
      <w:r w:rsidR="00904D16" w:rsidRPr="00904D16">
        <w:rPr>
          <w:rFonts w:ascii="Times New Roman" w:eastAsia="Arial" w:hAnsi="Times New Roman" w:cs="Times New Roman"/>
          <w:color w:val="000000"/>
          <w:shd w:val="clear" w:color="auto" w:fill="FFFFFF"/>
        </w:rPr>
        <w:t>E</w:t>
      </w:r>
      <w:r w:rsidRPr="00904D16">
        <w:rPr>
          <w:rFonts w:ascii="Times New Roman" w:eastAsia="Arial" w:hAnsi="Times New Roman" w:cs="Times New Roman"/>
          <w:color w:val="000000"/>
          <w:shd w:val="clear" w:color="auto" w:fill="FFFFFF"/>
        </w:rPr>
        <w:t xml:space="preserve">m </w:t>
      </w:r>
      <w:r w:rsidR="00904D16" w:rsidRPr="00904D16">
        <w:rPr>
          <w:rFonts w:ascii="Times New Roman" w:eastAsia="Arial" w:hAnsi="Times New Roman" w:cs="Times New Roman"/>
          <w:color w:val="000000"/>
          <w:shd w:val="clear" w:color="auto" w:fill="FFFFFF"/>
        </w:rPr>
        <w:t xml:space="preserve">um </w:t>
      </w:r>
      <w:r w:rsidRPr="00904D16">
        <w:rPr>
          <w:rFonts w:ascii="Times New Roman" w:eastAsia="Arial" w:hAnsi="Times New Roman" w:cs="Times New Roman"/>
          <w:color w:val="000000"/>
          <w:shd w:val="clear" w:color="auto" w:fill="FFFFFF"/>
        </w:rPr>
        <w:t xml:space="preserve">primeiro momento, percebemos a necessidade de intervenção e de realização de trabalhos de prevenção e valorização à equipe institucional. Com vistas a cuidar e ter um olhar acolhedor a quem cuida, buscamos promover espaços de fala, escuta e acolhimento à equipe de educadores responsáveis pelo andamento das atividades do local. </w:t>
      </w:r>
      <w:r w:rsidR="00904D16" w:rsidRPr="00904D16">
        <w:rPr>
          <w:rFonts w:ascii="Times New Roman" w:eastAsia="Arial" w:hAnsi="Times New Roman" w:cs="Times New Roman"/>
          <w:color w:val="000000"/>
          <w:shd w:val="clear" w:color="auto" w:fill="FFFFFF"/>
        </w:rPr>
        <w:t xml:space="preserve">Na próxima etapa pretendemos </w:t>
      </w:r>
      <w:r w:rsidRPr="00904D16">
        <w:rPr>
          <w:rFonts w:ascii="Times New Roman" w:eastAsia="Arial" w:hAnsi="Times New Roman" w:cs="Times New Roman"/>
          <w:color w:val="000000"/>
          <w:shd w:val="clear" w:color="auto" w:fill="FFFFFF"/>
        </w:rPr>
        <w:t>possibilitar aos adolescentes acesso aos serviços e intervenções em saúde mental prop</w:t>
      </w:r>
      <w:r w:rsidR="00904D16" w:rsidRPr="00904D16">
        <w:rPr>
          <w:rFonts w:ascii="Times New Roman" w:eastAsia="Arial" w:hAnsi="Times New Roman" w:cs="Times New Roman"/>
          <w:color w:val="000000"/>
          <w:shd w:val="clear" w:color="auto" w:fill="FFFFFF"/>
        </w:rPr>
        <w:t>ondo  núcleos de apoio e</w:t>
      </w:r>
      <w:r w:rsidRPr="00904D16">
        <w:rPr>
          <w:rFonts w:ascii="Times New Roman" w:eastAsia="Arial" w:hAnsi="Times New Roman" w:cs="Times New Roman"/>
          <w:color w:val="000000"/>
          <w:shd w:val="clear" w:color="auto" w:fill="FFFFFF"/>
        </w:rPr>
        <w:t xml:space="preserve"> identificar quais os fatores são passíveis de intervenção por medidas preventivas, educativas ou por medidas para recondução do comportamento já eivado pela depressão ou outras sintomatologias graves. </w:t>
      </w:r>
    </w:p>
    <w:p w:rsidR="00EC6322" w:rsidRPr="00904D16" w:rsidRDefault="00EC6322" w:rsidP="00EC6322">
      <w:pPr>
        <w:tabs>
          <w:tab w:val="left" w:pos="1417"/>
          <w:tab w:val="center" w:pos="5128"/>
          <w:tab w:val="right" w:pos="9547"/>
        </w:tabs>
        <w:snapToGrid w:val="0"/>
        <w:spacing w:line="360" w:lineRule="auto"/>
        <w:jc w:val="both"/>
        <w:rPr>
          <w:rFonts w:hint="eastAsia"/>
        </w:rPr>
      </w:pPr>
    </w:p>
    <w:p w:rsidR="004C5E1C" w:rsidRPr="00904D16" w:rsidRDefault="004C5E1C" w:rsidP="00EC6322">
      <w:pPr>
        <w:pStyle w:val="Rodap"/>
        <w:tabs>
          <w:tab w:val="left" w:pos="708"/>
        </w:tabs>
        <w:snapToGrid w:val="0"/>
        <w:spacing w:line="360" w:lineRule="auto"/>
        <w:jc w:val="both"/>
      </w:pPr>
      <w:r w:rsidRPr="00904D16">
        <w:rPr>
          <w:rFonts w:ascii="Times New Roman" w:hAnsi="Times New Roman"/>
          <w:b/>
          <w:bCs/>
          <w:color w:val="000000"/>
          <w:shd w:val="clear" w:color="auto" w:fill="FFFFFF"/>
          <w:lang w:val="pt-BR"/>
        </w:rPr>
        <w:t>Palavras-Chave:</w:t>
      </w:r>
      <w:r w:rsidRPr="00904D16">
        <w:rPr>
          <w:rFonts w:ascii="Times New Roman" w:hAnsi="Times New Roman"/>
          <w:color w:val="000000"/>
          <w:shd w:val="clear" w:color="auto" w:fill="FFFFFF"/>
          <w:lang w:val="pt-BR"/>
        </w:rPr>
        <w:t xml:space="preserve"> adolescentes; saúde mental; vulnerabilidade social.</w:t>
      </w:r>
    </w:p>
    <w:p w:rsidR="004C5E1C" w:rsidRDefault="004C5E1C" w:rsidP="00EC6322">
      <w:pPr>
        <w:spacing w:after="200" w:line="360" w:lineRule="auto"/>
        <w:ind w:firstLine="709"/>
        <w:jc w:val="both"/>
        <w:rPr>
          <w:rFonts w:ascii="Times New Roman" w:eastAsia="Arial" w:hAnsi="Times New Roman" w:cs="Times New Roman"/>
          <w:b/>
          <w:color w:val="000000"/>
          <w:shd w:val="clear" w:color="auto" w:fill="FFFFFF"/>
        </w:rPr>
      </w:pPr>
    </w:p>
    <w:p w:rsidR="004C5E1C" w:rsidRDefault="004C5E1C" w:rsidP="00EC6322">
      <w:pPr>
        <w:pStyle w:val="Ttulo1"/>
        <w:spacing w:before="0" w:after="200" w:line="360" w:lineRule="auto"/>
        <w:jc w:val="both"/>
        <w:rPr>
          <w:rFonts w:ascii="Times New Roman" w:eastAsia="Arial" w:hAnsi="Times New Roman" w:cs="Arial"/>
          <w:b/>
          <w:color w:val="000000"/>
          <w:sz w:val="24"/>
          <w:szCs w:val="24"/>
        </w:rPr>
      </w:pPr>
      <w:r w:rsidRPr="00904D16">
        <w:rPr>
          <w:rFonts w:ascii="Times New Roman" w:eastAsia="Arial" w:hAnsi="Times New Roman" w:cs="Arial"/>
          <w:b/>
          <w:color w:val="000000"/>
          <w:sz w:val="24"/>
          <w:szCs w:val="24"/>
        </w:rPr>
        <w:lastRenderedPageBreak/>
        <w:t xml:space="preserve">INTRODUÇÃO </w:t>
      </w:r>
    </w:p>
    <w:p w:rsidR="00EC6322" w:rsidRPr="00EC6322" w:rsidRDefault="00EC6322" w:rsidP="00EC6322"/>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O artigo expõe resultados preliminares de um projeto de extensão universitária que está sendo realizado no Serviço de Convivência e Fortalecimento de Vínculos (SCFV) Tia Nair, na cidade estrutural. O projeto foi desenvolvido c</w:t>
      </w:r>
      <w:r w:rsidRPr="00904D16">
        <w:rPr>
          <w:rFonts w:ascii="Times New Roman" w:eastAsia="Arial" w:hAnsi="Times New Roman" w:cs="Times New Roman"/>
          <w:color w:val="000000"/>
          <w:shd w:val="clear" w:color="auto" w:fill="FFFFFF"/>
        </w:rPr>
        <w:t>om o propósito de entender e</w:t>
      </w:r>
      <w:r w:rsidRPr="00904D16">
        <w:rPr>
          <w:rFonts w:ascii="Times New Roman" w:eastAsia="Arial" w:hAnsi="Times New Roman" w:cs="Times New Roman"/>
          <w:color w:val="000000"/>
        </w:rPr>
        <w:t xml:space="preserve"> fazer intervenções com o público adolescente que participa do serviço de convivência supracitado</w:t>
      </w:r>
      <w:r w:rsidRPr="00904D16">
        <w:rPr>
          <w:rFonts w:ascii="Times New Roman" w:eastAsia="Arial" w:hAnsi="Times New Roman" w:cs="Times New Roman"/>
          <w:color w:val="000000"/>
          <w:shd w:val="clear" w:color="auto" w:fill="FFFFFF"/>
        </w:rPr>
        <w:t>. Através da escuta proposta por rodas de conversa, entrevistas semiestruturadas, grupos focais e oficinas</w:t>
      </w:r>
      <w:r w:rsidRPr="00904D16">
        <w:rPr>
          <w:rFonts w:ascii="Times New Roman" w:eastAsia="Arial" w:hAnsi="Times New Roman" w:cs="Times New Roman"/>
          <w:color w:val="000000"/>
        </w:rPr>
        <w:t xml:space="preserve"> participativas, tentamos entender como os sujeitos vivenciam suas adolescências em contexto de vulnerabilidade, no intuito de auxiliar na construção do sujeito adolescente, bem como minimizar impactos causados pela vulnerabilidade na saúde mental. Cabe ressaltar que antes de acessarmos os adolescentes, optamos por entender como se dá o funcionamento da instituição e como os atores envolvidos na mesma se reconhecem perante sua atividade laboral. Sendo assim, em um primeiro momento, percebemos a necessidade de intervenção e de realização de trabalhos de prevenção e valorização à equipe institucional. Com vistas a cuidar e ter um olhar acolhedor a quem cuida, buscamos promover espaços de fala, escuta e acolhimento à equipe de educadores responsáveis pelo andamento das atividades do local.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O espaço de convivência propõe atividades no contra turno escolar aos inscritos. Apesar da capacidade para 300 pessoas, a instituição atende hoje em torno de 180 inscritos, dentre elas crianças e adolescente, de 0</w:t>
      </w:r>
      <w:r w:rsidR="009870A1" w:rsidRPr="00904D16">
        <w:rPr>
          <w:rFonts w:ascii="Times New Roman" w:eastAsia="Arial" w:hAnsi="Times New Roman" w:cs="Times New Roman"/>
          <w:color w:val="000000"/>
        </w:rPr>
        <w:t>6 a 17 anos. Funciona das 07:00 à</w:t>
      </w:r>
      <w:r w:rsidRPr="00904D16">
        <w:rPr>
          <w:rFonts w:ascii="Times New Roman" w:eastAsia="Arial" w:hAnsi="Times New Roman" w:cs="Times New Roman"/>
          <w:color w:val="000000"/>
        </w:rPr>
        <w:t>s 17:00, oferece café da manhã, lanche reforçado na hora do almoço e lanche da tarde. Conta com o número de sete educadores sociais e um coordenador pedagógico, um profissional do serviço social e uma psicóloga. Cada educador social se responsabiliza por um núcleo de inscritos, por faixa etária, focando nas demandas por idade. Dentre as atividades</w:t>
      </w:r>
      <w:r w:rsidR="009870A1" w:rsidRPr="00904D16">
        <w:rPr>
          <w:rFonts w:ascii="Times New Roman" w:eastAsia="Arial" w:hAnsi="Times New Roman" w:cs="Times New Roman"/>
          <w:color w:val="000000"/>
        </w:rPr>
        <w:t>,</w:t>
      </w:r>
      <w:r w:rsidRPr="00904D16">
        <w:rPr>
          <w:rFonts w:ascii="Times New Roman" w:eastAsia="Arial" w:hAnsi="Times New Roman" w:cs="Times New Roman"/>
          <w:color w:val="000000"/>
        </w:rPr>
        <w:t xml:space="preserve"> temos: aulas de artes, teatro, auxílio pedagógico, capoeira, dança, aulas de história, jogos e formação para integração ao mercado de trabalho aos jovens que irão completar 18 anos e não mais poderão frequentar a instituição. </w:t>
      </w:r>
    </w:p>
    <w:p w:rsidR="004C5E1C" w:rsidRPr="00904D16" w:rsidRDefault="009870A1" w:rsidP="00EC6322">
      <w:pPr>
        <w:spacing w:line="360" w:lineRule="auto"/>
        <w:ind w:firstLine="709"/>
        <w:jc w:val="both"/>
        <w:rPr>
          <w:rFonts w:hint="eastAsia"/>
        </w:rPr>
      </w:pPr>
      <w:r w:rsidRPr="00904D16">
        <w:rPr>
          <w:rFonts w:ascii="Times New Roman" w:eastAsia="Arial" w:hAnsi="Times New Roman" w:cs="Times New Roman"/>
          <w:color w:val="000000"/>
        </w:rPr>
        <w:t>Conforme a</w:t>
      </w:r>
      <w:r w:rsidR="004C5E1C" w:rsidRPr="00904D16">
        <w:rPr>
          <w:rFonts w:ascii="Times New Roman" w:eastAsia="Arial" w:hAnsi="Times New Roman" w:cs="Times New Roman"/>
          <w:color w:val="000000"/>
        </w:rPr>
        <w:t xml:space="preserve"> equipe pedagógica, o projeto que auxilia aos jovens para a entrada no mercado de trabalho, conseguiu em um ano colocar cerca de 12 jovens no mercado</w:t>
      </w:r>
      <w:r w:rsidRPr="00904D16">
        <w:rPr>
          <w:rFonts w:ascii="Times New Roman" w:eastAsia="Arial" w:hAnsi="Times New Roman" w:cs="Times New Roman"/>
          <w:color w:val="000000"/>
        </w:rPr>
        <w:t>,</w:t>
      </w:r>
      <w:r w:rsidR="004C5E1C" w:rsidRPr="00904D16">
        <w:rPr>
          <w:rFonts w:ascii="Times New Roman" w:eastAsia="Arial" w:hAnsi="Times New Roman" w:cs="Times New Roman"/>
          <w:color w:val="000000"/>
        </w:rPr>
        <w:t xml:space="preserve"> em contrapartida de 06 que foram para o mundo do crime e ou das drogas.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Contudo, projeto </w:t>
      </w:r>
      <w:r w:rsidR="009870A1" w:rsidRPr="00904D16">
        <w:rPr>
          <w:rFonts w:ascii="Times New Roman" w:eastAsia="Arial" w:hAnsi="Times New Roman" w:cs="Times New Roman"/>
          <w:color w:val="000000"/>
        </w:rPr>
        <w:t xml:space="preserve">de extensão oferecido </w:t>
      </w:r>
      <w:r w:rsidRPr="00904D16">
        <w:rPr>
          <w:rFonts w:ascii="Times New Roman" w:eastAsia="Arial" w:hAnsi="Times New Roman" w:cs="Times New Roman"/>
          <w:color w:val="000000"/>
        </w:rPr>
        <w:t>se justifica pelo crescimento exponencial de fenômenos voltados para o adoecimento psíquico dos adolescentes no Brasil, sobretudo depressão e suicídio, além da saída para as drogas e para o mundo do crime, já que na adolescência acreditamos que a conversão e a desconversão acontecem com mais facilidade.</w:t>
      </w:r>
      <w:r w:rsidRPr="00904D16">
        <w:rPr>
          <w:rFonts w:ascii="Times New Roman" w:eastAsia="Arial" w:hAnsi="Times New Roman" w:cs="Times New Roman"/>
          <w:color w:val="000000"/>
          <w:shd w:val="clear" w:color="auto" w:fill="FFFFFF"/>
        </w:rPr>
        <w:t xml:space="preserve"> </w:t>
      </w:r>
      <w:r w:rsidRPr="00904D16">
        <w:rPr>
          <w:rFonts w:ascii="Times New Roman" w:eastAsia="Arial" w:hAnsi="Times New Roman" w:cs="Times New Roman"/>
          <w:color w:val="000000"/>
          <w:shd w:val="clear" w:color="auto" w:fill="FFFFFF"/>
        </w:rPr>
        <w:lastRenderedPageBreak/>
        <w:t xml:space="preserve">No que se trata de saúde mental, segundo a </w:t>
      </w:r>
      <w:r w:rsidR="009870A1" w:rsidRPr="00904D16">
        <w:rPr>
          <w:rFonts w:ascii="Times New Roman" w:eastAsia="Arial" w:hAnsi="Times New Roman" w:cs="Times New Roman"/>
          <w:color w:val="000000"/>
          <w:shd w:val="clear" w:color="auto" w:fill="FFFFFF"/>
        </w:rPr>
        <w:t>Organização Mundial de Saúde (</w:t>
      </w:r>
      <w:r w:rsidRPr="00904D16">
        <w:rPr>
          <w:rFonts w:ascii="Times New Roman" w:eastAsia="Arial" w:hAnsi="Times New Roman" w:cs="Times New Roman"/>
          <w:color w:val="000000"/>
          <w:shd w:val="clear" w:color="auto" w:fill="FFFFFF"/>
        </w:rPr>
        <w:t>OMS</w:t>
      </w:r>
      <w:r w:rsidR="009870A1" w:rsidRPr="00904D16">
        <w:rPr>
          <w:rFonts w:ascii="Times New Roman" w:eastAsia="Arial" w:hAnsi="Times New Roman" w:cs="Times New Roman"/>
          <w:color w:val="000000"/>
          <w:shd w:val="clear" w:color="auto" w:fill="FFFFFF"/>
        </w:rPr>
        <w:t>)</w:t>
      </w:r>
      <w:r w:rsidRPr="00904D16">
        <w:rPr>
          <w:rFonts w:ascii="Times New Roman" w:eastAsia="Arial" w:hAnsi="Times New Roman" w:cs="Times New Roman"/>
          <w:color w:val="000000"/>
          <w:shd w:val="clear" w:color="auto" w:fill="FFFFFF"/>
        </w:rPr>
        <w:t>, cerca de 11,5 milhões de brasileiros sofrem de depressão, o que coloca o Brasil como o segundo maior país com prevalência da patologia nas Américas.</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shd w:val="clear" w:color="auto" w:fill="FFFFFF"/>
        </w:rPr>
        <w:t xml:space="preserve">Sabemos que a adolescência é um dos estágios mais marcantes do desenvolvimento humano, perpetrada por uma fase de indefinição e transição, manifestada por crescimento e desenvolvimento físico intenso, acompanhada de alterações fisiológicas, psicológicas e sociais. No percurso destas mudanças, a ausência de orientação adequada, seja da família, escola e sociedade pode oferecer riscos físicos psíquicos e sociais ao adolescente (BORGES, 2011).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shd w:val="clear" w:color="auto" w:fill="FFFFFF"/>
        </w:rPr>
        <w:t>Vivemos em uma sociedade turbulenta e esmaecida de parâmetros, em uma mudança de Era. A história nos revelou a idade do fogo, da pedra, do bronze e agora a idade da informática e o mundo das imagens, onde o real e o virtual se confundem entre outras inúmeras colisões. Ao lado de tanta tecnologia</w:t>
      </w:r>
      <w:r w:rsidR="009870A1" w:rsidRPr="00904D16">
        <w:rPr>
          <w:rFonts w:ascii="Times New Roman" w:eastAsia="Arial" w:hAnsi="Times New Roman" w:cs="Times New Roman"/>
          <w:color w:val="000000"/>
          <w:shd w:val="clear" w:color="auto" w:fill="FFFFFF"/>
        </w:rPr>
        <w:t>,</w:t>
      </w:r>
      <w:r w:rsidRPr="00904D16">
        <w:rPr>
          <w:rFonts w:ascii="Times New Roman" w:eastAsia="Arial" w:hAnsi="Times New Roman" w:cs="Times New Roman"/>
          <w:color w:val="000000"/>
          <w:shd w:val="clear" w:color="auto" w:fill="FFFFFF"/>
        </w:rPr>
        <w:t xml:space="preserve"> uma violência indignada do homem primitivo está solta por toda a parte. O viver virou arte de sobreviver emocionalmente. (LEVISNK, 1996).</w:t>
      </w:r>
    </w:p>
    <w:p w:rsidR="00904D16" w:rsidRPr="00904D16" w:rsidRDefault="004C5E1C" w:rsidP="00EC6322">
      <w:pPr>
        <w:spacing w:line="360" w:lineRule="auto"/>
        <w:ind w:firstLine="709"/>
        <w:jc w:val="both"/>
        <w:rPr>
          <w:rFonts w:ascii="Times New Roman" w:eastAsia="Arial" w:hAnsi="Times New Roman" w:cs="Times New Roman"/>
          <w:color w:val="000000"/>
          <w:shd w:val="clear" w:color="auto" w:fill="FFFFFF"/>
        </w:rPr>
      </w:pPr>
      <w:r w:rsidRPr="00904D16">
        <w:rPr>
          <w:rFonts w:ascii="Times New Roman" w:eastAsia="Arial" w:hAnsi="Times New Roman" w:cs="Times New Roman"/>
          <w:color w:val="000000"/>
          <w:shd w:val="clear" w:color="auto" w:fill="FFFFFF"/>
        </w:rPr>
        <w:t>Portanto, em um primeiro momento, na perspectiva de constituir um espaço de reflexão e ação, fundamentado em saberes técnico-científicos e populares, lançamos mão dos saberes da discip</w:t>
      </w:r>
      <w:r w:rsidR="005A3458" w:rsidRPr="00904D16">
        <w:rPr>
          <w:rFonts w:ascii="Times New Roman" w:eastAsia="Arial" w:hAnsi="Times New Roman" w:cs="Times New Roman"/>
          <w:color w:val="000000"/>
          <w:shd w:val="clear" w:color="auto" w:fill="FFFFFF"/>
        </w:rPr>
        <w:t>lina educação em saúde mental, quese apresenta</w:t>
      </w:r>
      <w:r w:rsidRPr="00904D16">
        <w:rPr>
          <w:rFonts w:ascii="Times New Roman" w:eastAsia="Arial" w:hAnsi="Times New Roman" w:cs="Times New Roman"/>
          <w:color w:val="000000"/>
          <w:shd w:val="clear" w:color="auto" w:fill="FFFFFF"/>
        </w:rPr>
        <w:t xml:space="preserve"> como uma estratégia fundamentada no processo de transformação de comportamento, mediada por práticas educativas e reflexiva que exaltem a autonomia dos sujeitos na condução de sua vida. A prática atribuída ao profissional psicólogo pretende favorecer a promoção, prevenção e a manutenção da saúde mental</w:t>
      </w:r>
      <w:r w:rsidR="005A3458" w:rsidRPr="00904D16">
        <w:rPr>
          <w:rFonts w:ascii="Times New Roman" w:eastAsia="Arial" w:hAnsi="Times New Roman" w:cs="Times New Roman"/>
          <w:color w:val="000000"/>
          <w:shd w:val="clear" w:color="auto" w:fill="FFFFFF"/>
        </w:rPr>
        <w:t>,</w:t>
      </w:r>
      <w:r w:rsidRPr="00904D16">
        <w:rPr>
          <w:rFonts w:ascii="Times New Roman" w:eastAsia="Arial" w:hAnsi="Times New Roman" w:cs="Times New Roman"/>
          <w:color w:val="000000"/>
          <w:shd w:val="clear" w:color="auto" w:fill="FFFFFF"/>
        </w:rPr>
        <w:t xml:space="preserve"> visando o melhor desenvolvimento do sujeito, sendo capaz de provocar mudanças individuais e sociais.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shd w:val="clear" w:color="auto" w:fill="FFFFFF"/>
        </w:rPr>
        <w:t xml:space="preserve">Como facilitadora do processo de educação em saúde mental, por intermédio da articulação entre a Universidade e a comunidade como um todo, a extensão universitária pretende alinhar as atividades de ensino e pesquisa desenvolvidas no âmbito acadêmico às reais demandas da sociedade, colaborando, sobretudo, </w:t>
      </w:r>
      <w:r w:rsidR="005A3458" w:rsidRPr="00904D16">
        <w:rPr>
          <w:rFonts w:ascii="Times New Roman" w:eastAsia="Arial" w:hAnsi="Times New Roman" w:cs="Times New Roman"/>
          <w:color w:val="000000"/>
          <w:shd w:val="clear" w:color="auto" w:fill="FFFFFF"/>
        </w:rPr>
        <w:t>para com o</w:t>
      </w:r>
      <w:r w:rsidRPr="00904D16">
        <w:rPr>
          <w:rFonts w:ascii="Times New Roman" w:eastAsia="Arial" w:hAnsi="Times New Roman" w:cs="Times New Roman"/>
          <w:color w:val="000000"/>
          <w:shd w:val="clear" w:color="auto" w:fill="FFFFFF"/>
        </w:rPr>
        <w:t xml:space="preserve"> desenvolvimento de hábitos saudáveis e </w:t>
      </w:r>
      <w:r w:rsidR="00866AF1" w:rsidRPr="00904D16">
        <w:rPr>
          <w:rFonts w:ascii="Times New Roman" w:eastAsia="Arial" w:hAnsi="Times New Roman" w:cs="Times New Roman"/>
          <w:color w:val="000000"/>
          <w:shd w:val="clear" w:color="auto" w:fill="FFFFFF"/>
        </w:rPr>
        <w:t>com o</w:t>
      </w:r>
      <w:r w:rsidRPr="00904D16">
        <w:rPr>
          <w:rFonts w:ascii="Times New Roman" w:eastAsia="Arial" w:hAnsi="Times New Roman" w:cs="Times New Roman"/>
          <w:color w:val="000000"/>
          <w:shd w:val="clear" w:color="auto" w:fill="FFFFFF"/>
        </w:rPr>
        <w:t xml:space="preserve"> fortalecimento da cidadania.</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shd w:val="clear" w:color="auto" w:fill="FFFFFF"/>
        </w:rPr>
        <w:t xml:space="preserve">Consonante a estas perspectivas, o presente estudo teve como objetivo descrever a experiência da inserção de estratégias de educação em saúde mental, em especial, pelo profissional de psicologia inserido no cenário de uma instituição de acolhimento e fortalecimento de vínculos, com vistas a compartilhar a experiência do trabalho da psicologia </w:t>
      </w:r>
      <w:r w:rsidRPr="00904D16">
        <w:rPr>
          <w:rFonts w:ascii="Times New Roman" w:eastAsia="Arial" w:hAnsi="Times New Roman" w:cs="Times New Roman"/>
          <w:color w:val="000000"/>
          <w:shd w:val="clear" w:color="auto" w:fill="FFFFFF"/>
        </w:rPr>
        <w:lastRenderedPageBreak/>
        <w:t>na realização de oficinas com educadores e adolescentes em contexto de vulnerabilidade social.</w:t>
      </w:r>
      <w:r w:rsidRPr="00904D16">
        <w:rPr>
          <w:rFonts w:ascii="Times New Roman" w:eastAsia="Arial" w:hAnsi="Times New Roman" w:cs="Times New Roman"/>
          <w:color w:val="000000"/>
          <w:shd w:val="clear" w:color="auto" w:fill="FFFFFF"/>
        </w:rPr>
        <w:tab/>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shd w:val="clear" w:color="auto" w:fill="FFFFFF"/>
        </w:rPr>
        <w:t>A importância deste estudo está relacionada às práticas da psicologia enquanto campo de saber que permite problematizar e transformar a experiência e a própria concepção do adolescente contemporâneo, apontando para a configuração de novos fazeres, novos contornos e novos fundamentos para essas práticas. Possibilita-se, assim, a interlocução de conhecimentos entre a psicologia, a educação e as políticas públicas na sociedade contemporânea (GUARESCHI, 2003)</w:t>
      </w:r>
    </w:p>
    <w:p w:rsidR="004C5E1C" w:rsidRPr="00904D16" w:rsidRDefault="004C5E1C" w:rsidP="00EC6322">
      <w:pPr>
        <w:spacing w:line="360" w:lineRule="auto"/>
        <w:ind w:firstLine="709"/>
        <w:jc w:val="both"/>
        <w:rPr>
          <w:rFonts w:ascii="Times New Roman" w:eastAsia="Arial" w:hAnsi="Times New Roman" w:cs="Times New Roman"/>
          <w:color w:val="000000"/>
          <w:shd w:val="clear" w:color="auto" w:fill="FFFFFF"/>
        </w:rPr>
      </w:pPr>
    </w:p>
    <w:p w:rsidR="004C5E1C" w:rsidRDefault="004C5E1C" w:rsidP="00EC6322">
      <w:pPr>
        <w:pStyle w:val="Ttulo1"/>
        <w:spacing w:before="0" w:after="200" w:line="360" w:lineRule="auto"/>
        <w:jc w:val="both"/>
        <w:rPr>
          <w:rFonts w:ascii="Times New Roman" w:eastAsia="Arial" w:hAnsi="Times New Roman" w:cs="Arial"/>
          <w:b/>
          <w:color w:val="000000"/>
          <w:sz w:val="24"/>
          <w:szCs w:val="24"/>
        </w:rPr>
      </w:pPr>
      <w:bookmarkStart w:id="1" w:name="_30j0zll"/>
      <w:bookmarkEnd w:id="1"/>
      <w:r w:rsidRPr="00904D16">
        <w:rPr>
          <w:rFonts w:ascii="Times New Roman" w:eastAsia="Arial" w:hAnsi="Times New Roman" w:cs="Arial"/>
          <w:b/>
          <w:color w:val="000000"/>
          <w:sz w:val="24"/>
          <w:szCs w:val="24"/>
        </w:rPr>
        <w:t>O SUJEITO ADOLESCENTE</w:t>
      </w:r>
    </w:p>
    <w:p w:rsidR="00EC6322" w:rsidRPr="00EC6322" w:rsidRDefault="00EC6322" w:rsidP="00EC6322"/>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A adolescência é delineada como um período biopsicossocial que, segundo a Organização Mundial de Saúde-OMS (1965) estabelecida entre os 10 aos 18 anos de idade. Esse critério é também adotado pelo Ministério da Saúde do Brasil (Brasil, 2007a) e pelo Instituto Brasileiro de Geografia e Estatística – IBGE (Brasil, 2007b). Para o Estatuto da Criança e do Adolescente – ECA, o período vai dos 12 aos 18 anos (Brasil, 2007).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A consolidação do conceito adolescente no século XX, durante muito tempo, predominou na Psicologia e na educação, uma compreensão como um processo natural e universal pelo qual todo ser humano passaria, em qualquer tempo e lugar, que faria parte do ciclo vital. Diferentemente, quando recorremos às contribuições da história e das ciências sociais, é possível entender a adolescência como o trabalho psíquico imposto ao jovem na nossa cultura, necessário para efetuar a passagem da infância para a vida adulta (COUTINHO, 2015).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Segundo Philippe Ariés, historiador francês, na Idade Média a consciência das particularidades da infância não existia, a criança era vista como um adulto em miniatura. As fases etárias não eram compreendidas nem valorizadas como momentos únicos na história e no desenvolvimento da personalidade (ÁRIES, 1981).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Naquela época, imperava o pensamento coletivo. O homem medieval tinha uma compreensão limitada do espaço privado, a família era vista como uma unidade econômica. No decorrer dos séculos XVI ao XIX, aconteceram uma série de eventos que viria mais tarde a mudar essa concepção de família. O desenvolvimento da alfabetização e dos livros incentivou o gosto pelo privado e pela solidão. Novas religiões surgiram, as quais exigiam dos </w:t>
      </w:r>
      <w:r w:rsidRPr="00904D16">
        <w:rPr>
          <w:rFonts w:ascii="Times New Roman" w:eastAsia="Arial" w:hAnsi="Times New Roman" w:cs="Times New Roman"/>
          <w:color w:val="000000"/>
        </w:rPr>
        <w:lastRenderedPageBreak/>
        <w:t>fiéis uma devoção mais íntima. Houve uma redefinição dos papéis sociais das mulheres e das crianças (ÁRIES, 1981).</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Assim, só no século XIX, em uma sociedade marcada pelo ideário do individualismo e do romantismo, com a expansão da escolarização e a complexificação da entrada no mercado de trabalho, é possível o surgimento da adolescência. Trata-se de uma experiência peculiar à nossa sociedade ocidental moderna, na qual cada indivíduo é responsável pela sua trajetória de vida e pelo lugar que ocupará na sociedade (ÁRIES, 1981).</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Essa concepção foi reforçada por algumas abordagens psicanalistas. Em 1905, Freud escreve Três ensaios sobre</w:t>
      </w:r>
      <w:r w:rsidR="00CC78DF" w:rsidRPr="00904D16">
        <w:rPr>
          <w:rFonts w:ascii="Times New Roman" w:eastAsia="Arial" w:hAnsi="Times New Roman" w:cs="Times New Roman"/>
          <w:color w:val="000000"/>
        </w:rPr>
        <w:t xml:space="preserve"> a sexualidade infantil, nos quais</w:t>
      </w:r>
      <w:r w:rsidRPr="00904D16">
        <w:rPr>
          <w:rFonts w:ascii="Times New Roman" w:eastAsia="Arial" w:hAnsi="Times New Roman" w:cs="Times New Roman"/>
          <w:color w:val="000000"/>
        </w:rPr>
        <w:t xml:space="preserve"> insere o escrito sobre as transformações da puberdade. Entretanto, na formulação inicial das teorias psicológicas e psicanalíticas sobre a adolescência predomina a ideia da adolescência como uma etapa natural do desenvolvimento, definida sempre através de uma visão normatizante e atenta ao caráter semi patológico que apresentava. Erikson foi o grande responsável pela institucionalização da adolescência como uma fase especial no processo de desenvolvimento ao introduzir o conceito de moratória, identificando essa fase com confusão de papéis e dificuldades de estabelecer uma identidade própria, </w:t>
      </w:r>
      <w:r w:rsidR="002F6E9C" w:rsidRPr="00904D16">
        <w:rPr>
          <w:rFonts w:ascii="Times New Roman" w:eastAsia="Arial" w:hAnsi="Times New Roman" w:cs="Times New Roman"/>
          <w:color w:val="000000"/>
        </w:rPr>
        <w:t xml:space="preserve">e como um período que passou a </w:t>
      </w:r>
      <w:r w:rsidRPr="00904D16">
        <w:rPr>
          <w:rFonts w:ascii="Times New Roman" w:eastAsia="Arial" w:hAnsi="Times New Roman" w:cs="Times New Roman"/>
          <w:color w:val="000000"/>
        </w:rPr>
        <w:t>ser quase um modo de vida en</w:t>
      </w:r>
      <w:r w:rsidR="002F6E9C" w:rsidRPr="00904D16">
        <w:rPr>
          <w:rFonts w:ascii="Times New Roman" w:eastAsia="Arial" w:hAnsi="Times New Roman" w:cs="Times New Roman"/>
          <w:color w:val="000000"/>
        </w:rPr>
        <w:t>tre a infância e a idade adulta</w:t>
      </w:r>
      <w:r w:rsidRPr="00904D16">
        <w:rPr>
          <w:rFonts w:ascii="Times New Roman" w:eastAsia="Arial" w:hAnsi="Times New Roman" w:cs="Times New Roman"/>
          <w:color w:val="000000"/>
        </w:rPr>
        <w:t xml:space="preserve"> (</w:t>
      </w:r>
      <w:r w:rsidR="00914128" w:rsidRPr="00904D16">
        <w:rPr>
          <w:rFonts w:ascii="Times New Roman" w:eastAsia="Arial" w:hAnsi="Times New Roman" w:cs="Times New Roman"/>
          <w:color w:val="000000"/>
        </w:rPr>
        <w:t xml:space="preserve">ERIKSON, </w:t>
      </w:r>
      <w:r w:rsidRPr="00904D16">
        <w:rPr>
          <w:rFonts w:ascii="Times New Roman" w:eastAsia="Arial" w:hAnsi="Times New Roman" w:cs="Times New Roman"/>
          <w:color w:val="000000"/>
        </w:rPr>
        <w:t xml:space="preserve">1976). Assim, o conceito de adolescência foi se consolidando sobretudo nas áreas da psicologia e da educação que, sem dúvida, têm uma participação importante na sua difusão.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Aberastury</w:t>
      </w:r>
      <w:r w:rsidR="002F6E9C" w:rsidRPr="00904D16">
        <w:rPr>
          <w:rFonts w:ascii="Times New Roman" w:eastAsia="Arial" w:hAnsi="Times New Roman" w:cs="Times New Roman"/>
          <w:color w:val="000000"/>
        </w:rPr>
        <w:t xml:space="preserve"> (1981)</w:t>
      </w:r>
      <w:r w:rsidRPr="00904D16">
        <w:rPr>
          <w:rFonts w:ascii="Times New Roman" w:eastAsia="Arial" w:hAnsi="Times New Roman" w:cs="Times New Roman"/>
          <w:color w:val="000000"/>
        </w:rPr>
        <w:t>, apesar de enfatizar que “toda a adolescência leva, além do selo individual, o selo de meio cultural e</w:t>
      </w:r>
      <w:r w:rsidR="00904D16" w:rsidRPr="00904D16">
        <w:rPr>
          <w:rFonts w:ascii="Times New Roman" w:eastAsia="Arial" w:hAnsi="Times New Roman" w:cs="Times New Roman"/>
          <w:color w:val="000000"/>
        </w:rPr>
        <w:t xml:space="preserve"> histórico”. Além disso, Knobel, citado por Aberastury,</w:t>
      </w:r>
      <w:r w:rsidRPr="00904D16">
        <w:rPr>
          <w:rFonts w:ascii="Times New Roman" w:eastAsia="Arial" w:hAnsi="Times New Roman" w:cs="Times New Roman"/>
          <w:color w:val="000000"/>
        </w:rPr>
        <w:t>parte de pressupostos de que “o adolescente passa por desequilíbrios e instabilidades extremas” e que o “adolescente apresenta uma vulnerabilidade especial para assimilar os impactos projetivos de pais, irmãos, amigos e de toda a sociedade” (ABERASTURY,</w:t>
      </w:r>
      <w:r w:rsidR="002F6E9C" w:rsidRPr="00904D16">
        <w:rPr>
          <w:rFonts w:ascii="Times New Roman" w:eastAsia="Arial" w:hAnsi="Times New Roman" w:cs="Times New Roman"/>
          <w:i/>
          <w:color w:val="000000"/>
        </w:rPr>
        <w:t>op. cit</w:t>
      </w:r>
      <w:r w:rsidR="002F6E9C" w:rsidRPr="00904D16">
        <w:rPr>
          <w:rFonts w:ascii="Times New Roman" w:eastAsia="Arial" w:hAnsi="Times New Roman" w:cs="Times New Roman"/>
          <w:color w:val="000000"/>
        </w:rPr>
        <w:t>,</w:t>
      </w:r>
      <w:r w:rsidRPr="00904D16">
        <w:rPr>
          <w:rFonts w:ascii="Times New Roman" w:eastAsia="Arial" w:hAnsi="Times New Roman" w:cs="Times New Roman"/>
          <w:color w:val="000000"/>
        </w:rPr>
        <w:t xml:space="preserve"> 1981). </w:t>
      </w:r>
    </w:p>
    <w:p w:rsidR="004C5E1C" w:rsidRPr="00904D16" w:rsidRDefault="004C5E1C" w:rsidP="00EC6322">
      <w:pPr>
        <w:spacing w:after="29" w:line="360" w:lineRule="auto"/>
        <w:ind w:firstLine="709"/>
        <w:jc w:val="both"/>
        <w:rPr>
          <w:rFonts w:hint="eastAsia"/>
        </w:rPr>
      </w:pPr>
      <w:r w:rsidRPr="00904D16">
        <w:rPr>
          <w:rFonts w:ascii="Times New Roman" w:eastAsia="Arial" w:hAnsi="Times New Roman" w:cs="Times New Roman"/>
          <w:color w:val="000000"/>
        </w:rPr>
        <w:t xml:space="preserve">Desse modo, avaliamos que a adolescência é instituída historicamente pelo homem, enquanto representação e enquanto fato social e psicológico. Partimos do pressuposto que os “dramas” da adolescência decorrem, não somente das exigências pulsionais advindas da puberdade, mas de uma determinada situação social e histórica, com a qual o jovem se depara ao sair da infância. No entanto, nossa cultura não oferece aos adolescentes direções claras, que o orientem neste percurso, nem papéis sociais definidos do que seja ser um adulto. O encontro com o mundo adulto, pelo contrário, é bastante problemático, já que no paradigma </w:t>
      </w:r>
      <w:r w:rsidRPr="00904D16">
        <w:rPr>
          <w:rFonts w:ascii="Times New Roman" w:eastAsia="Arial" w:hAnsi="Times New Roman" w:cs="Times New Roman"/>
          <w:color w:val="000000"/>
        </w:rPr>
        <w:lastRenderedPageBreak/>
        <w:t>individualista, contradizer a tradição e traçar seu próprio destino torna-se regra, o que traz enormes questões e desafios no que diz respeito à educação, ou seja, à transmissão de um legado coletivo, em nossa cultura (CALLIGARIS, 2000).</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Quanto à educação de adolescentes, alvo de tantas discussões e lamúrias por parte de pais e professores nos dias de hoje, questões mais específicas e complexas se colocam. O que teria a psicologia a dizer sobre isso? Quais os caminhos e descaminhos do luto desse paradoxal encontro/confronto do adolescente com a educação no trabalho psíquico em curso neste sujeito, sobretudo quando o mesmo se encontra em vulnerabilidade social?</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Essas questões </w:t>
      </w:r>
      <w:r w:rsidRPr="00904D16">
        <w:rPr>
          <w:rFonts w:ascii="Times New Roman" w:eastAsia="Arial" w:hAnsi="Times New Roman" w:cs="Times New Roman"/>
        </w:rPr>
        <w:t>não podem deixar de serem questionadas para se refletir sobre os modos de subjetivação que estão sendo produzidos referente</w:t>
      </w:r>
      <w:r w:rsidR="00AB5869" w:rsidRPr="00904D16">
        <w:rPr>
          <w:rFonts w:ascii="Times New Roman" w:eastAsia="Arial" w:hAnsi="Times New Roman" w:cs="Times New Roman"/>
        </w:rPr>
        <w:t>s</w:t>
      </w:r>
      <w:r w:rsidRPr="00904D16">
        <w:rPr>
          <w:rFonts w:ascii="Times New Roman" w:eastAsia="Arial" w:hAnsi="Times New Roman" w:cs="Times New Roman"/>
        </w:rPr>
        <w:t xml:space="preserve"> ao sujeito adolescente. Sendo assim, não poderemos deixar de lado as discussões sobre vulnerabilidade social, da qual trataremos logo adiante.</w:t>
      </w:r>
    </w:p>
    <w:p w:rsidR="004C5E1C" w:rsidRPr="00904D16" w:rsidRDefault="004C5E1C" w:rsidP="00EC6322">
      <w:pPr>
        <w:spacing w:line="360" w:lineRule="auto"/>
        <w:ind w:firstLine="709"/>
        <w:jc w:val="both"/>
        <w:rPr>
          <w:rFonts w:ascii="Times New Roman" w:eastAsia="Arial" w:hAnsi="Times New Roman" w:cs="Times New Roman"/>
        </w:rPr>
      </w:pPr>
    </w:p>
    <w:p w:rsidR="004C5E1C" w:rsidRPr="00904D16" w:rsidRDefault="00EC6322" w:rsidP="00EC6322">
      <w:pPr>
        <w:pStyle w:val="Ttulo1"/>
        <w:spacing w:before="0" w:after="200" w:line="360" w:lineRule="auto"/>
        <w:jc w:val="both"/>
      </w:pPr>
      <w:bookmarkStart w:id="2" w:name="_rihja35uo53u"/>
      <w:bookmarkEnd w:id="2"/>
      <w:r>
        <w:rPr>
          <w:rFonts w:ascii="Times New Roman" w:eastAsia="Arial" w:hAnsi="Times New Roman" w:cs="Arial"/>
          <w:b/>
          <w:color w:val="000000"/>
          <w:sz w:val="24"/>
          <w:szCs w:val="24"/>
        </w:rPr>
        <w:t>1</w:t>
      </w:r>
      <w:r w:rsidRPr="00904D16">
        <w:rPr>
          <w:rFonts w:ascii="Times New Roman" w:eastAsia="Arial" w:hAnsi="Times New Roman" w:cs="Arial"/>
          <w:b/>
          <w:color w:val="000000"/>
          <w:sz w:val="24"/>
          <w:szCs w:val="24"/>
        </w:rPr>
        <w:t xml:space="preserve"> – Vulnerabilidade Social</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rPr>
        <w:t>O conceito de vulnerabilidade começou a ser trabalhado na área dos direitos humanos e mais tarde foi incorporado ao campo da saúde com os trabalhos realizados sobre AIDS na Escola de Saúde Pública de Harvard. As primeiras discussões articulavam dois estratos de visibilidade: pessoas que eram discriminadas socialmente e grupos específicos que remetiam a questões de medo e moral – levou à ampla disseminação d</w:t>
      </w:r>
      <w:r w:rsidR="00AB5869" w:rsidRPr="00904D16">
        <w:rPr>
          <w:rFonts w:ascii="Times New Roman" w:eastAsia="Arial" w:hAnsi="Times New Roman" w:cs="Times New Roman"/>
        </w:rPr>
        <w:t xml:space="preserve">o conceito de “grupo de risco” </w:t>
      </w:r>
      <w:r w:rsidRPr="00904D16">
        <w:rPr>
          <w:rFonts w:ascii="Times New Roman" w:eastAsia="Arial" w:hAnsi="Times New Roman" w:cs="Times New Roman"/>
        </w:rPr>
        <w:t>(MANN, 1993)</w:t>
      </w:r>
      <w:r w:rsidR="00AB5869" w:rsidRPr="00904D16">
        <w:rPr>
          <w:rFonts w:ascii="Times New Roman" w:eastAsia="Arial" w:hAnsi="Times New Roman" w:cs="Times New Roman"/>
        </w:rPr>
        <w:t>.</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rPr>
        <w:t>O modo como pretendemos abordar aqui o conceito de vulnerabilidade soci</w:t>
      </w:r>
      <w:r w:rsidR="00AB5869" w:rsidRPr="00904D16">
        <w:rPr>
          <w:rFonts w:ascii="Times New Roman" w:eastAsia="Arial" w:hAnsi="Times New Roman" w:cs="Times New Roman"/>
        </w:rPr>
        <w:t>al vai no sentido de contrapor a</w:t>
      </w:r>
      <w:r w:rsidRPr="00904D16">
        <w:rPr>
          <w:rFonts w:ascii="Times New Roman" w:eastAsia="Arial" w:hAnsi="Times New Roman" w:cs="Times New Roman"/>
        </w:rPr>
        <w:t xml:space="preserve"> noção de grupo de/em risco. Entendemos que, ao trabalhar com o conceito de vulnerabilidade social, não estamos remetendo ao indivíduo a condição de</w:t>
      </w:r>
      <w:r w:rsidR="00AB5869" w:rsidRPr="00904D16">
        <w:rPr>
          <w:rFonts w:ascii="Times New Roman" w:eastAsia="Arial" w:hAnsi="Times New Roman" w:cs="Times New Roman"/>
        </w:rPr>
        <w:t xml:space="preserve"> vulnerável. A vulnerabilidade </w:t>
      </w:r>
      <w:r w:rsidRPr="00904D16">
        <w:rPr>
          <w:rFonts w:ascii="Times New Roman" w:eastAsia="Arial" w:hAnsi="Times New Roman" w:cs="Times New Roman"/>
        </w:rPr>
        <w:t>está na falta ou na não condição de acesso a bens materiais e bens de serviço que possam suprir aquilo que pode tornar o indivíduo vulnerável (AYRES, 1999).</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rPr>
        <w:t>Para Abramovay</w:t>
      </w:r>
      <w:r w:rsidR="00745308" w:rsidRPr="00904D16">
        <w:rPr>
          <w:rFonts w:ascii="Times New Roman" w:eastAsia="Arial" w:hAnsi="Times New Roman" w:cs="Times New Roman"/>
        </w:rPr>
        <w:t xml:space="preserve"> (2002), </w:t>
      </w:r>
      <w:r w:rsidRPr="00904D16">
        <w:rPr>
          <w:rFonts w:ascii="Times New Roman" w:eastAsia="Arial" w:hAnsi="Times New Roman" w:cs="Times New Roman"/>
        </w:rPr>
        <w:t>a vulnerabilidade social é definida como situação em que os recursos e habilidades de um dado grupo social são insuficientes e inadequados para lidar com as oportunidades oferecidas pela sociedade. Essas oportunidades constituem uma forma de ascender a maiores níveis de bem-estar ou diminuir probabilidades de deterioração das condições de vida de determinados atores sociais. Assim, o conceito de vulnerabilidade social está indiretamente vinculado com o de mob</w:t>
      </w:r>
      <w:r w:rsidR="00745308" w:rsidRPr="00904D16">
        <w:rPr>
          <w:rFonts w:ascii="Times New Roman" w:eastAsia="Arial" w:hAnsi="Times New Roman" w:cs="Times New Roman"/>
        </w:rPr>
        <w:t>ilidade social</w:t>
      </w:r>
      <w:r w:rsidRPr="00904D16">
        <w:rPr>
          <w:rFonts w:ascii="Times New Roman" w:eastAsia="Arial" w:hAnsi="Times New Roman" w:cs="Times New Roman"/>
        </w:rPr>
        <w:t>.</w:t>
      </w:r>
    </w:p>
    <w:p w:rsidR="0037705C" w:rsidRPr="00904D16" w:rsidRDefault="004C5E1C" w:rsidP="00EC6322">
      <w:pPr>
        <w:spacing w:line="360" w:lineRule="auto"/>
        <w:ind w:firstLine="709"/>
        <w:jc w:val="both"/>
        <w:rPr>
          <w:rFonts w:ascii="Times New Roman" w:eastAsia="Arial" w:hAnsi="Times New Roman" w:cs="Times New Roman"/>
        </w:rPr>
      </w:pPr>
      <w:r w:rsidRPr="00904D16">
        <w:rPr>
          <w:rFonts w:ascii="Times New Roman" w:eastAsia="Arial" w:hAnsi="Times New Roman" w:cs="Times New Roman"/>
        </w:rPr>
        <w:lastRenderedPageBreak/>
        <w:t xml:space="preserve">Todavia, vulnerabilidade não se restringe à categoria econômica, passando por organizações políticas de raça, orientação sexual, gênero, etnia. Dessa forma, as organizações simbólicas também estão intimamente ligadas ao conceito de vulnerabilidade social (ABRAMOVAY, </w:t>
      </w:r>
      <w:r w:rsidR="003D61FF" w:rsidRPr="00904D16">
        <w:rPr>
          <w:rFonts w:ascii="Times New Roman" w:eastAsia="Arial" w:hAnsi="Times New Roman" w:cs="Times New Roman"/>
          <w:i/>
        </w:rPr>
        <w:t>op. cit</w:t>
      </w:r>
      <w:r w:rsidRPr="00904D16">
        <w:rPr>
          <w:rFonts w:ascii="Times New Roman" w:eastAsia="Arial" w:hAnsi="Times New Roman" w:cs="Times New Roman"/>
        </w:rPr>
        <w:t xml:space="preserve">).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rPr>
        <w:t xml:space="preserve">Ayres considera que a conformação da vulnerabilidade social acaba sendo constituída em torno de conjunturas básicas: a primeira diz respeito à posse ou controle de recursos materiais ou simbólicos que permitem aos indivíduos se desenvolverem; a segunda remete à organização das Políticas de Estado e bem-estar social, que configuram os componentes de oportunidades que provêm do Estado, do mercado </w:t>
      </w:r>
      <w:r w:rsidR="0037705C" w:rsidRPr="00904D16">
        <w:rPr>
          <w:rFonts w:ascii="Times New Roman" w:eastAsia="Arial" w:hAnsi="Times New Roman" w:cs="Times New Roman"/>
        </w:rPr>
        <w:t>e da sociedade como um todo; por</w:t>
      </w:r>
      <w:r w:rsidRPr="00904D16">
        <w:rPr>
          <w:rFonts w:ascii="Times New Roman" w:eastAsia="Arial" w:hAnsi="Times New Roman" w:cs="Times New Roman"/>
        </w:rPr>
        <w:t xml:space="preserve"> fim, a forma como os indivíduos, grupos, segmentos ou famílias organizam seus repertórios simbólicos ou materiais para responder aos desafios e adversidades provenientes das modificações dinâmicas (AYRES, 1999).</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rPr>
        <w:t xml:space="preserve">Isso leva a uma análise do conceito de vulnerabilidade social de forma complexa e multifacetada, pela análise da organização de diferentes vetores que dificultam o acesso aos bens e serviços, incluindo os de saúde e educação (CASTRO </w:t>
      </w:r>
      <w:r w:rsidRPr="00904D16">
        <w:rPr>
          <w:rFonts w:ascii="Times New Roman" w:eastAsia="Arial" w:hAnsi="Times New Roman" w:cs="Times New Roman"/>
          <w:i/>
        </w:rPr>
        <w:t>et al</w:t>
      </w:r>
      <w:r w:rsidRPr="00904D16">
        <w:rPr>
          <w:rFonts w:ascii="Times New Roman" w:eastAsia="Arial" w:hAnsi="Times New Roman" w:cs="Times New Roman"/>
        </w:rPr>
        <w:t>, 2001).</w:t>
      </w:r>
      <w:r w:rsidR="00904D16" w:rsidRPr="00904D16">
        <w:tab/>
      </w:r>
      <w:r w:rsidRPr="00904D16">
        <w:rPr>
          <w:rFonts w:ascii="Times New Roman" w:eastAsia="Arial" w:hAnsi="Times New Roman" w:cs="Times New Roman"/>
        </w:rPr>
        <w:t>Portanto, é preciso considerar os fatores específicos da comunidade. Assim, observa-se que a vulnerabilidade cresce quando aparecem algumas das situações a seguir: falta de acesso à informação, aos serviços básicos de educação, saúde, lazer e falta de confiança ou credibilidade na sustentação de estratégias de ação. Evidencia-se, a partir desses aspectos, um deslocamento na atribuição da condição de vulnerabilidade, que já não se constitui como característica própria do indivíduo, mas como resultado da combinação de determinados arranjos sociais e políticos que vão incidir sobre os sujeitos (GUARESCHI, 2004).</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rPr>
        <w:t>Uma leitura provocadora possível é a de que, quando os jovens fazem parte de populações carentes, políticas públicas podem enquadrá-los, naturalmente, como o grupo de excluídos que precisa ser ocupado para poder formar sujeitos úteis, que saiam das ruas e frequentem escolas, pois o contrário se relaciona à possibilidade de infringir regras. Embora ocorram em certos espaços da sociedade onde a pobreza é mais visível, essas práticas não podem deixar de ser questionadas para se refletir sobre os modos de subjetivação que estão sendo produzidos por determinados discursos hegemônicos de exclusão social.</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rPr>
        <w:t xml:space="preserve">Em relação aos discursos hegemônicos, Coimbra </w:t>
      </w:r>
      <w:r w:rsidR="00D02A55" w:rsidRPr="00904D16">
        <w:rPr>
          <w:rFonts w:ascii="Times New Roman" w:eastAsia="Arial" w:hAnsi="Times New Roman" w:cs="Times New Roman"/>
        </w:rPr>
        <w:t xml:space="preserve">(2011) </w:t>
      </w:r>
      <w:r w:rsidRPr="00904D16">
        <w:rPr>
          <w:rFonts w:ascii="Times New Roman" w:eastAsia="Arial" w:hAnsi="Times New Roman" w:cs="Times New Roman"/>
        </w:rPr>
        <w:t xml:space="preserve">ressalta o surgimento de um sentimento de incompetência de grupos considerados vulneráveis, que seria reforçado pelos saberes dominantes. </w:t>
      </w:r>
      <w:r w:rsidR="00D02A55" w:rsidRPr="00904D16">
        <w:rPr>
          <w:rFonts w:ascii="Times New Roman" w:eastAsia="Arial" w:hAnsi="Times New Roman" w:cs="Times New Roman"/>
        </w:rPr>
        <w:t>Para o autor, es</w:t>
      </w:r>
      <w:r w:rsidRPr="00904D16">
        <w:rPr>
          <w:rFonts w:ascii="Times New Roman" w:eastAsia="Arial" w:hAnsi="Times New Roman" w:cs="Times New Roman"/>
        </w:rPr>
        <w:t xml:space="preserve">ses saberes chegam às classes subalternizadas como algo </w:t>
      </w:r>
      <w:r w:rsidRPr="00904D16">
        <w:rPr>
          <w:rFonts w:ascii="Times New Roman" w:eastAsia="Arial" w:hAnsi="Times New Roman" w:cs="Times New Roman"/>
        </w:rPr>
        <w:lastRenderedPageBreak/>
        <w:t>totalmente fora de seu mundo, de seu alcance: desconhecem como foram produzidos e para que servem. Com isso,</w:t>
      </w:r>
      <w:r w:rsidR="00D02A55" w:rsidRPr="00904D16">
        <w:rPr>
          <w:rFonts w:ascii="Times New Roman" w:eastAsia="Arial" w:hAnsi="Times New Roman" w:cs="Times New Roman"/>
        </w:rPr>
        <w:t xml:space="preserve"> ele ainda assevera que assim</w:t>
      </w:r>
      <w:r w:rsidRPr="00904D16">
        <w:rPr>
          <w:rFonts w:ascii="Times New Roman" w:eastAsia="Arial" w:hAnsi="Times New Roman" w:cs="Times New Roman"/>
        </w:rPr>
        <w:t xml:space="preserve"> são convencidos de que todos aqueles que não possuem informações competentes e científicas não podem expressar suas opiniões, já que estão longe da verdade e, portanto, se encontram efetivamente excluídos.</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rPr>
        <w:t xml:space="preserve">Assim, a crítica que empreendemos não diz respeito à existência em si das políticas públicas, mas à necessidade de análise de como estas se constituem, que saberes e lógicas operam e como constituem os sujeitos sobre em contexto de vulnerabilidade social. </w:t>
      </w:r>
    </w:p>
    <w:p w:rsidR="004C5E1C" w:rsidRPr="00904D16" w:rsidRDefault="004C5E1C" w:rsidP="00EC6322">
      <w:pPr>
        <w:spacing w:line="360" w:lineRule="auto"/>
        <w:ind w:firstLine="709"/>
        <w:jc w:val="both"/>
        <w:rPr>
          <w:rFonts w:ascii="Times New Roman" w:eastAsia="Arial" w:hAnsi="Times New Roman" w:cs="Times New Roman"/>
        </w:rPr>
      </w:pPr>
    </w:p>
    <w:p w:rsidR="004C5E1C" w:rsidRPr="00904D16" w:rsidRDefault="00EC6322" w:rsidP="00EC6322">
      <w:pPr>
        <w:pStyle w:val="Ttulo1"/>
        <w:spacing w:before="0" w:after="200" w:line="360" w:lineRule="auto"/>
        <w:jc w:val="both"/>
      </w:pPr>
      <w:bookmarkStart w:id="3" w:name="_q5gxpchr1er"/>
      <w:bookmarkEnd w:id="3"/>
      <w:r>
        <w:rPr>
          <w:rFonts w:ascii="Times New Roman" w:eastAsia="Arial" w:hAnsi="Times New Roman" w:cs="Arial"/>
          <w:b/>
          <w:color w:val="000000"/>
          <w:sz w:val="24"/>
          <w:szCs w:val="24"/>
        </w:rPr>
        <w:t>2 – Sobre o</w:t>
      </w:r>
      <w:r w:rsidRPr="00904D16">
        <w:rPr>
          <w:rFonts w:ascii="Times New Roman" w:eastAsia="Arial" w:hAnsi="Times New Roman" w:cs="Arial"/>
          <w:b/>
          <w:color w:val="000000"/>
          <w:sz w:val="24"/>
          <w:szCs w:val="24"/>
        </w:rPr>
        <w:t xml:space="preserve"> Método</w:t>
      </w:r>
    </w:p>
    <w:p w:rsidR="0041485A"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Este relato de experiência reflete às nossas vivências e as percepções a respeito dos integrantes do projeto de extensão “Saúde Mental de Adolescentes em Contexto de Vulnerabilidade Social”, realizado com fomento do NEXT do Centro Universitário ICESP, unidade de Águas Claras-DF. O referido projeto está sendo realizado no período de agosto de 2018 a fevereiro de 2019, subdividido em duas fases de atuação; a primeira considerando os educadores e a segunda contemplando aos inscritos do turno vespertino do Serviço de Convivência e Fortalecimento de Vínculos Tia Nair.A segunda fase, que será escrita em outro trabalho, terá foco sobre os relatos e as intervenções com os adolescentes.</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 A vivência fundamentou-se na descrição das estratégias de educação em saúde mental, mediadas pela realização de oficinas direcionadas aos educadores do Centro de Convivência, com a finalidade de oferecer o melhor e mais adequado manejo didático ao adolescente, abordando temáticas relacionadas à adolescência. Sendo assim, foram estabelecidas as seguintes etapas: (a) problematização inicial, com base no conhecimento prévio e nas experiências pedagógicas/dificuldades dos participantes; (b) escolha dos temas (pelos educadores) a serem tratados nos encontros; (c) apresentação do conteúdo por meio de oficinas; (d) reflexão crítica, discussões e relatos dos participantes, e (e) socialização e avaliação das atividades realizadas. </w:t>
      </w:r>
    </w:p>
    <w:p w:rsidR="0041485A" w:rsidRPr="00904D16" w:rsidRDefault="004C5E1C" w:rsidP="00EC6322">
      <w:pPr>
        <w:spacing w:line="360" w:lineRule="auto"/>
        <w:ind w:firstLine="709"/>
        <w:jc w:val="both"/>
        <w:rPr>
          <w:rFonts w:ascii="Times New Roman" w:eastAsia="Arial" w:hAnsi="Times New Roman" w:cs="Times New Roman"/>
          <w:color w:val="000000"/>
        </w:rPr>
      </w:pPr>
      <w:r w:rsidRPr="00904D16">
        <w:rPr>
          <w:rFonts w:ascii="Times New Roman" w:eastAsia="Arial" w:hAnsi="Times New Roman" w:cs="Times New Roman"/>
          <w:color w:val="000000"/>
        </w:rPr>
        <w:t>Nesta pesquisa, as estratégias utilizadas foram de capacitação participativa, alinhadas ao conceito de educação para a saúde mental no contexto de vulnerabilidade social, com o uso de oficinas. Carvalho</w:t>
      </w:r>
      <w:r w:rsidR="0041485A" w:rsidRPr="00904D16">
        <w:rPr>
          <w:rFonts w:ascii="Times New Roman" w:eastAsia="Arial" w:hAnsi="Times New Roman" w:cs="Times New Roman"/>
          <w:color w:val="000000"/>
        </w:rPr>
        <w:t xml:space="preserve"> (2005. </w:t>
      </w:r>
      <w:r w:rsidR="00904D16" w:rsidRPr="00904D16">
        <w:rPr>
          <w:rFonts w:ascii="Times New Roman" w:eastAsia="Arial" w:hAnsi="Times New Roman" w:cs="Times New Roman"/>
          <w:color w:val="000000"/>
        </w:rPr>
        <w:t>P.7</w:t>
      </w:r>
      <w:r w:rsidR="0041485A" w:rsidRPr="00904D16">
        <w:rPr>
          <w:rFonts w:ascii="Times New Roman" w:eastAsia="Arial" w:hAnsi="Times New Roman" w:cs="Times New Roman"/>
          <w:color w:val="000000"/>
        </w:rPr>
        <w:t>)</w:t>
      </w:r>
      <w:r w:rsidRPr="00904D16">
        <w:rPr>
          <w:rFonts w:ascii="Times New Roman" w:eastAsia="Arial" w:hAnsi="Times New Roman" w:cs="Times New Roman"/>
          <w:color w:val="000000"/>
        </w:rPr>
        <w:t xml:space="preserve"> compreende oficina como</w:t>
      </w:r>
      <w:r w:rsidR="00EC6322">
        <w:rPr>
          <w:rFonts w:ascii="Times New Roman" w:eastAsia="Arial" w:hAnsi="Times New Roman" w:cs="Times New Roman"/>
          <w:color w:val="000000"/>
        </w:rPr>
        <w:t>:</w:t>
      </w:r>
    </w:p>
    <w:p w:rsidR="0041485A" w:rsidRPr="00904D16" w:rsidRDefault="0041485A" w:rsidP="00EC6322">
      <w:pPr>
        <w:spacing w:line="360" w:lineRule="auto"/>
        <w:ind w:firstLine="709"/>
        <w:jc w:val="both"/>
        <w:rPr>
          <w:rFonts w:ascii="Times New Roman" w:eastAsia="Arial" w:hAnsi="Times New Roman" w:cs="Times New Roman"/>
          <w:color w:val="000000"/>
        </w:rPr>
      </w:pPr>
    </w:p>
    <w:p w:rsidR="004C5E1C" w:rsidRPr="00904D16" w:rsidRDefault="00EC6322" w:rsidP="00EC6322">
      <w:pPr>
        <w:spacing w:line="360" w:lineRule="auto"/>
        <w:ind w:firstLine="709"/>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“U</w:t>
      </w:r>
      <w:r w:rsidR="004C5E1C" w:rsidRPr="00904D16">
        <w:rPr>
          <w:rFonts w:ascii="Times New Roman" w:eastAsia="Arial" w:hAnsi="Times New Roman" w:cs="Times New Roman"/>
          <w:color w:val="000000"/>
          <w:sz w:val="20"/>
          <w:szCs w:val="20"/>
        </w:rPr>
        <w:t xml:space="preserve">m trabalho estruturado com grupos, independentemente do número de encontros, focado em torno de uma questão central, proposta pelo grupo, em um contexto social. A elaboração que se busca na oficina não se </w:t>
      </w:r>
      <w:r w:rsidR="004C5E1C" w:rsidRPr="00904D16">
        <w:rPr>
          <w:rFonts w:ascii="Times New Roman" w:eastAsia="Arial" w:hAnsi="Times New Roman" w:cs="Times New Roman"/>
          <w:color w:val="000000"/>
          <w:sz w:val="20"/>
          <w:szCs w:val="20"/>
        </w:rPr>
        <w:lastRenderedPageBreak/>
        <w:t>restringe a uma reflexão racional, mas envolve os sujeitos de maneira integral, com form</w:t>
      </w:r>
      <w:r w:rsidR="0041485A" w:rsidRPr="00904D16">
        <w:rPr>
          <w:rFonts w:ascii="Times New Roman" w:eastAsia="Arial" w:hAnsi="Times New Roman" w:cs="Times New Roman"/>
          <w:color w:val="000000"/>
          <w:sz w:val="20"/>
          <w:szCs w:val="20"/>
        </w:rPr>
        <w:t>as de pensar</w:t>
      </w:r>
      <w:r>
        <w:rPr>
          <w:rFonts w:ascii="Times New Roman" w:eastAsia="Arial" w:hAnsi="Times New Roman" w:cs="Times New Roman"/>
          <w:color w:val="000000"/>
          <w:sz w:val="20"/>
          <w:szCs w:val="20"/>
        </w:rPr>
        <w:t>, sentir e agir.”</w:t>
      </w:r>
    </w:p>
    <w:p w:rsidR="0041485A" w:rsidRPr="00904D16" w:rsidRDefault="0041485A" w:rsidP="00EC6322">
      <w:pPr>
        <w:spacing w:line="360" w:lineRule="auto"/>
        <w:jc w:val="both"/>
        <w:rPr>
          <w:rFonts w:hint="eastAsia"/>
          <w:sz w:val="20"/>
          <w:szCs w:val="20"/>
        </w:rPr>
      </w:pP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Os temas selecionados para as oficinas posteriores com os adolescentes foram: violência; bullying; sexualidade; gravidez na adolescência; DST/AIDS; álcool e drogas. Além dos educadores, participaram da escolha dos temas, os coordenadores, o assistente social, coordenador pedagógico e a psicóloga da Instituição, embora estes tenham apoiado apenas na logística do trabalho e também com sugestões, não sendo objetos de intervenção. Foram realizadas reuniões semanais, com duração média de 2 horas cada. Assim, foram realizadas cinco oficinas com grupo de educadores.</w:t>
      </w:r>
    </w:p>
    <w:p w:rsidR="004C5E1C" w:rsidRPr="00904D16" w:rsidRDefault="004C5E1C" w:rsidP="00EC6322">
      <w:pPr>
        <w:spacing w:line="360" w:lineRule="auto"/>
        <w:ind w:firstLine="709"/>
        <w:jc w:val="both"/>
        <w:rPr>
          <w:rFonts w:ascii="Times New Roman" w:eastAsia="Arial" w:hAnsi="Times New Roman" w:cs="Times New Roman"/>
          <w:color w:val="000000"/>
        </w:rPr>
      </w:pPr>
    </w:p>
    <w:p w:rsidR="004C5E1C" w:rsidRPr="00904D16" w:rsidRDefault="00EC6322" w:rsidP="00EC6322">
      <w:pPr>
        <w:pStyle w:val="Ttulo1"/>
        <w:spacing w:before="0" w:after="200" w:line="360" w:lineRule="auto"/>
        <w:jc w:val="both"/>
      </w:pPr>
      <w:bookmarkStart w:id="4" w:name="_1fob9te"/>
      <w:bookmarkEnd w:id="4"/>
      <w:r>
        <w:rPr>
          <w:rFonts w:ascii="Times New Roman" w:eastAsia="Arial" w:hAnsi="Times New Roman" w:cs="Arial"/>
          <w:b/>
          <w:color w:val="000000"/>
          <w:sz w:val="24"/>
          <w:szCs w:val="24"/>
        </w:rPr>
        <w:t>3</w:t>
      </w:r>
      <w:r w:rsidRPr="00904D16">
        <w:rPr>
          <w:rFonts w:ascii="Times New Roman" w:eastAsia="Arial" w:hAnsi="Times New Roman" w:cs="Arial"/>
          <w:b/>
          <w:color w:val="000000"/>
          <w:sz w:val="24"/>
          <w:szCs w:val="24"/>
        </w:rPr>
        <w:t xml:space="preserve"> –</w:t>
      </w:r>
      <w:r>
        <w:rPr>
          <w:rFonts w:ascii="Times New Roman" w:eastAsia="Arial" w:hAnsi="Times New Roman" w:cs="Arial"/>
          <w:b/>
          <w:color w:val="000000"/>
          <w:sz w:val="24"/>
          <w:szCs w:val="24"/>
        </w:rPr>
        <w:t xml:space="preserve"> Relatos d</w:t>
      </w:r>
      <w:r w:rsidRPr="00904D16">
        <w:rPr>
          <w:rFonts w:ascii="Times New Roman" w:eastAsia="Arial" w:hAnsi="Times New Roman" w:cs="Arial"/>
          <w:b/>
          <w:color w:val="000000"/>
          <w:sz w:val="24"/>
          <w:szCs w:val="24"/>
        </w:rPr>
        <w:t>a Experiência</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A região onde está lo</w:t>
      </w:r>
      <w:r w:rsidR="00DB268B" w:rsidRPr="00904D16">
        <w:rPr>
          <w:rFonts w:ascii="Times New Roman" w:eastAsia="Arial" w:hAnsi="Times New Roman" w:cs="Times New Roman"/>
          <w:color w:val="000000"/>
        </w:rPr>
        <w:t>calizada a referida instituição</w:t>
      </w:r>
      <w:r w:rsidRPr="00904D16">
        <w:rPr>
          <w:rFonts w:ascii="Times New Roman" w:eastAsia="Arial" w:hAnsi="Times New Roman" w:cs="Times New Roman"/>
          <w:color w:val="000000"/>
        </w:rPr>
        <w:t xml:space="preserve"> possui elevados índices de criminalidade e vulnerabilidade social, refletindo altos índices de gravidez na adolescência, bem como o exagerado consumo de álcool e drogas pela população jovem. No sentido de promover estratégias educativas direcionadas aos adolescentes, diversos estudos vêm sendo realizados, abordando, especialmente, as temáticas relacionadas à sexualidade e ao uso indevido de drogas.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Vale ressaltar que ainda são escassas as realizações de oficinas direcionadas aos educadores em Serviços de Convivência, particularmente, no Brasil. Nesta pesquisa, as temáticas e atividades propostas para cada oficina foram as mesmas, seguindo um cronograma que definiria quais seriam praticadas nos encontros subsequentes, com base na definição das necessidades levantadas na primeira reunião pelos educadores.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As oficinas foram ministradas pela acadêmica extensionista: Midiã de Itanhém Fernandes Martins e pela professora orientadora do projeto: Msc. Hellen Vale. Para mobilizar o grupo em torno da proposta, foram realizados encontros em grupo que contribuíram sobremaneira para a formação do vínculo entre os sujeitos, oferecendo também uma perspectiva de suas aspirações em face da realidade apresentada.</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Neste sentido, a primeira e </w:t>
      </w:r>
      <w:r w:rsidR="00DB268B" w:rsidRPr="00904D16">
        <w:rPr>
          <w:rFonts w:ascii="Times New Roman" w:eastAsia="Arial" w:hAnsi="Times New Roman" w:cs="Times New Roman"/>
          <w:color w:val="000000"/>
        </w:rPr>
        <w:t>a segunda oficina pretenderam</w:t>
      </w:r>
      <w:r w:rsidRPr="00904D16">
        <w:rPr>
          <w:rFonts w:ascii="Times New Roman" w:eastAsia="Arial" w:hAnsi="Times New Roman" w:cs="Times New Roman"/>
          <w:color w:val="000000"/>
        </w:rPr>
        <w:t xml:space="preserve"> apenas apresentar as pessoas que se envolveram no projeto; fazer um levantamento de necessidades por parte dos educadores no manejo com sujeitos; além de elaborar u</w:t>
      </w:r>
      <w:r w:rsidR="00DB268B" w:rsidRPr="00904D16">
        <w:rPr>
          <w:rFonts w:ascii="Times New Roman" w:eastAsia="Arial" w:hAnsi="Times New Roman" w:cs="Times New Roman"/>
          <w:color w:val="000000"/>
        </w:rPr>
        <w:t>m plano de intervenção educativa</w:t>
      </w:r>
      <w:r w:rsidRPr="00904D16">
        <w:rPr>
          <w:rFonts w:ascii="Times New Roman" w:eastAsia="Arial" w:hAnsi="Times New Roman" w:cs="Times New Roman"/>
          <w:color w:val="000000"/>
        </w:rPr>
        <w:t xml:space="preserve"> para atendimento destas carências. Ficou claro nesses primeiros encontros que a equipe se </w:t>
      </w:r>
      <w:r w:rsidRPr="00904D16">
        <w:rPr>
          <w:rFonts w:ascii="Times New Roman" w:eastAsia="Arial" w:hAnsi="Times New Roman" w:cs="Times New Roman"/>
          <w:color w:val="000000"/>
        </w:rPr>
        <w:lastRenderedPageBreak/>
        <w:t>encontrava desmotivada frente aos conflitos institucionais e sociais do próprio trabalho. O acesso das proponentes no âmbito institucional trouxe esperança à equipe, o que já consta como o início de uma atividade interventiva.</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A terceira oficina pretendeu avaliar na ótica dos educadores, os aspectos psicossociais positivos e o autoconhecimento de suas condições, por meio de uma dinâmica simples, como o cartaz representativo (autoconhecimento). O grupo deveria fazer seu cartaz, de forma livre e criativa, utilizando cartolina, caneta, lápis de cor, recortes de revista e jornais, respondendo a perguntas como: O que representa seu trabalho como educador em uma instituição em contextos de vulnerabilidade? – Quais as dificuldades ou facilidades que você encontra em sua profissão? A atividade objetivou estimular a criatividade dos participantes, proporcionando um ambiente de troca de experiências, além de observar a percepção que eles tinham de si mesmos, alertando-os para suas reais condições de trabalho face às perspectivas almejadas.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Na quarta reunião, foi realizado um fórum de discussão, seguido de apresentação da reflexão dos variados cartazes, compartilhando suas observações e perspectivas para melhorar sua atuação profissional dentro das temáticas abordadas. À medida que as questões iam sendo debatidas, verificou-se que os assuntos mais difíceis para os educadores eram: a paixão pelo trabalho, a falta de recursos, instabilidade emocional, a falta de reconhecimento por parte da instituição, a esperança de um futuro melhor frente a tantos conflitos sociais.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A experiência realizada mostrou que há um distanciamento entre os serviços dos educadores com os coordenadores da instituição. Além disso, na própria instituição que tenta dar suporte ao adolescente, há falta de recursos materiais técnicos e humanos, fatores estes que limitam a qualidade do serviço prestado. Assim, foi preparada uma reunião com os coordenadores da instituição para alinharmos novas estratégias para a melhor condução das propostas passadas pelos educadores, além de fazermos uma ponte entre os diversos trabalhos.</w:t>
      </w:r>
    </w:p>
    <w:p w:rsidR="004C5E1C" w:rsidRPr="00904D16" w:rsidRDefault="004C5E1C" w:rsidP="00EC6322">
      <w:pPr>
        <w:spacing w:line="360" w:lineRule="auto"/>
        <w:ind w:firstLine="709"/>
        <w:jc w:val="both"/>
        <w:rPr>
          <w:rFonts w:ascii="Times New Roman" w:eastAsia="Arial" w:hAnsi="Times New Roman" w:cs="Times New Roman"/>
          <w:color w:val="000000"/>
        </w:rPr>
      </w:pPr>
    </w:p>
    <w:p w:rsidR="004C5E1C" w:rsidRDefault="004C5E1C" w:rsidP="00EC6322">
      <w:pPr>
        <w:pStyle w:val="Ttulo1"/>
        <w:spacing w:before="0" w:after="200" w:line="360" w:lineRule="auto"/>
        <w:jc w:val="both"/>
        <w:rPr>
          <w:rFonts w:ascii="Times New Roman" w:eastAsia="Arial" w:hAnsi="Times New Roman" w:cs="Arial"/>
          <w:b/>
          <w:color w:val="000000"/>
          <w:sz w:val="24"/>
          <w:szCs w:val="24"/>
        </w:rPr>
      </w:pPr>
      <w:bookmarkStart w:id="5" w:name="_390e5qd2psjd"/>
      <w:bookmarkEnd w:id="5"/>
      <w:r w:rsidRPr="00904D16">
        <w:rPr>
          <w:rFonts w:ascii="Times New Roman" w:eastAsia="Arial" w:hAnsi="Times New Roman" w:cs="Arial"/>
          <w:b/>
          <w:color w:val="000000"/>
          <w:sz w:val="24"/>
          <w:szCs w:val="24"/>
        </w:rPr>
        <w:t>CONSIDERAÇÕES FINAIS</w:t>
      </w:r>
    </w:p>
    <w:p w:rsidR="00EC6322" w:rsidRPr="00EC6322" w:rsidRDefault="00EC6322" w:rsidP="00EC6322"/>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Apesar do preconceito existente em relação à fase adolescente, denominada por alguns como uma “geração descompromissada e alienada”, trabalhos sociais importantes vêm sendo realizados com o intuito de desvelar a real situação de vulnerabilidade desta faixa etária, </w:t>
      </w:r>
      <w:r w:rsidRPr="00904D16">
        <w:rPr>
          <w:rFonts w:ascii="Times New Roman" w:eastAsia="Arial" w:hAnsi="Times New Roman" w:cs="Times New Roman"/>
          <w:color w:val="000000"/>
        </w:rPr>
        <w:lastRenderedPageBreak/>
        <w:t>objetivando traçar estratégias eficazes no combate aos problemas comumente vivenciados por esses jovens.</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Assim, na construção e implementação deste trabalho, o cuidado no desenvolvimento das atividades propostas em cada oficina e atividade em grupo foi perpetrado com objetivo de promover a interação e a participação de toda instituição, em especial, os educadores a fim de que estes possam expressar suas dúvidas, necessidades e experiências, construindo uma parceria de troca e difusão dos conhecimentos compartilhados.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A execução de um projeto desta natureza é um modo de cooperar na conscientização dos adolescentes e na tomada de decisões sobre suas vidas, caráter e constituição de cidadania, na compreensão da sexualidade, do uso de drogas, no conhecimento de diferentes carreiras e aptidão vocacional, dentre outras, para que estes jovens possam obter ferramentas que lhes assegurem comportamentos que não comprometam suas relações, tampouco sua saúde.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A riqueza das discussões suscitadas pelos educadores pôde comprovar o alcance dos objetivos do projeto, de caráter social e intervencionista, utilizando recursos sociais e estruturais do sistema público para a construção de uma nova realidade educacional local, que pode e deve ser replicada. Ademais, ressalta-se o crescimento e desenvolvimento profissional da equipe que desenvolveu o projeto, respaldando a criação de um espaço para problematização de questões relativas à adolescência e sua responsabilidade social, como psicólogos e educadores em saúde.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color w:val="000000"/>
        </w:rPr>
        <w:t xml:space="preserve">A relação do Centro Universitário ICESP e um Serviço de Acolhimento e Fortalecimento de Vínculos foi importante no sentido da mutualidade de contribuições, como: aprendizado, parcerias de intervenções, aproximação da instituição formadora de </w:t>
      </w:r>
      <w:r w:rsidR="00586E51" w:rsidRPr="00904D16">
        <w:rPr>
          <w:rFonts w:ascii="Times New Roman" w:eastAsia="Arial" w:hAnsi="Times New Roman" w:cs="Times New Roman"/>
          <w:color w:val="000000"/>
        </w:rPr>
        <w:t>educadores e profissionais de</w:t>
      </w:r>
      <w:r w:rsidRPr="00904D16">
        <w:rPr>
          <w:rFonts w:ascii="Times New Roman" w:eastAsia="Arial" w:hAnsi="Times New Roman" w:cs="Times New Roman"/>
          <w:color w:val="000000"/>
        </w:rPr>
        <w:t xml:space="preserve"> saúde, e possibilidade de acesso a serviços de saúde mental para a comunidade carente. </w:t>
      </w:r>
    </w:p>
    <w:p w:rsidR="004C5E1C" w:rsidRPr="00904D16" w:rsidRDefault="004C5E1C" w:rsidP="00EC6322">
      <w:pPr>
        <w:spacing w:line="360" w:lineRule="auto"/>
        <w:ind w:firstLine="709"/>
        <w:jc w:val="both"/>
        <w:rPr>
          <w:rFonts w:hint="eastAsia"/>
        </w:rPr>
      </w:pPr>
      <w:r w:rsidRPr="00904D16">
        <w:rPr>
          <w:rFonts w:ascii="Times New Roman" w:eastAsia="Arial" w:hAnsi="Times New Roman" w:cs="Times New Roman"/>
        </w:rPr>
        <w:t xml:space="preserve">Este trabalho aponta como recomendação que esta experiência possa ser aplicada em outros espaços, com profissionais que lidam com adolescentes, como já referido, este profissional exerce importante papel na construção da cidadania do indivíduo neste ciclo de vida, sobretudo carregado de vulnerabilidades, podendo ser compreendidas e melhor enfrentadas, se o educador estiver apto a apoiar e orientar os sujeitos adolescentes. </w:t>
      </w:r>
    </w:p>
    <w:p w:rsidR="004C5E1C" w:rsidRPr="00904D16" w:rsidRDefault="004C5E1C" w:rsidP="00EC6322">
      <w:pPr>
        <w:spacing w:line="360" w:lineRule="auto"/>
        <w:ind w:firstLine="709"/>
        <w:jc w:val="both"/>
        <w:rPr>
          <w:rFonts w:ascii="Times New Roman" w:eastAsia="Arial" w:hAnsi="Times New Roman" w:cs="Times New Roman"/>
        </w:rPr>
      </w:pPr>
    </w:p>
    <w:p w:rsidR="004C5E1C" w:rsidRDefault="004C5E1C" w:rsidP="00EC6322">
      <w:pPr>
        <w:pStyle w:val="Ttulo1"/>
        <w:spacing w:before="0" w:after="200" w:line="360" w:lineRule="auto"/>
        <w:jc w:val="both"/>
        <w:rPr>
          <w:rFonts w:ascii="Times New Roman" w:eastAsia="Arial" w:hAnsi="Times New Roman" w:cs="Arial"/>
          <w:b/>
          <w:color w:val="000000"/>
          <w:sz w:val="24"/>
          <w:szCs w:val="24"/>
        </w:rPr>
      </w:pPr>
      <w:r w:rsidRPr="00904D16">
        <w:rPr>
          <w:rFonts w:ascii="Times New Roman" w:eastAsia="Arial" w:hAnsi="Times New Roman" w:cs="Arial"/>
          <w:b/>
          <w:color w:val="000000"/>
          <w:sz w:val="24"/>
          <w:szCs w:val="24"/>
        </w:rPr>
        <w:lastRenderedPageBreak/>
        <w:t xml:space="preserve">REFERÊNCIAS </w:t>
      </w:r>
    </w:p>
    <w:p w:rsidR="00EC6322" w:rsidRPr="00EC6322" w:rsidRDefault="00EC6322" w:rsidP="00EC6322"/>
    <w:p w:rsidR="004C5E1C" w:rsidRPr="00904D16" w:rsidRDefault="004C5E1C" w:rsidP="00EC6322">
      <w:pPr>
        <w:spacing w:after="29" w:line="360" w:lineRule="auto"/>
        <w:ind w:right="57"/>
        <w:jc w:val="both"/>
        <w:rPr>
          <w:rFonts w:hint="eastAsia"/>
        </w:rPr>
      </w:pPr>
      <w:r w:rsidRPr="00904D16">
        <w:rPr>
          <w:rFonts w:ascii="Times New Roman" w:eastAsia="Arial" w:hAnsi="Times New Roman" w:cs="Times New Roman"/>
          <w:color w:val="000000"/>
        </w:rPr>
        <w:t xml:space="preserve">ABRAMOVAY, M.; CASTRO, M. G.; PINHEIRO, L. C.; et.al. </w:t>
      </w:r>
      <w:r w:rsidR="00586E51" w:rsidRPr="00904D16">
        <w:rPr>
          <w:rFonts w:ascii="Times New Roman" w:eastAsia="Arial" w:hAnsi="Times New Roman" w:cs="Times New Roman"/>
          <w:b/>
          <w:bCs/>
          <w:color w:val="000000"/>
        </w:rPr>
        <w:t>Juventude, violência e vulnerabilidade social na américa latina: desafios para políticas públicas</w:t>
      </w:r>
      <w:r w:rsidRPr="00904D16">
        <w:rPr>
          <w:rFonts w:ascii="Times New Roman" w:eastAsia="Arial" w:hAnsi="Times New Roman" w:cs="Times New Roman"/>
          <w:color w:val="000000"/>
        </w:rPr>
        <w:t xml:space="preserve">. Brasília: UNESCO, 2002. </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ABERASTURY, A. &amp;Knobel, M. </w:t>
      </w:r>
      <w:r w:rsidRPr="00904D16">
        <w:rPr>
          <w:rFonts w:ascii="Times New Roman" w:eastAsia="Arial" w:hAnsi="Times New Roman" w:cs="Times New Roman"/>
          <w:b/>
          <w:bCs/>
          <w:color w:val="000000"/>
        </w:rPr>
        <w:t>Adolescência normal.</w:t>
      </w:r>
      <w:r w:rsidRPr="00904D16">
        <w:rPr>
          <w:rFonts w:ascii="Times New Roman" w:eastAsia="Arial" w:hAnsi="Times New Roman" w:cs="Times New Roman"/>
          <w:color w:val="000000"/>
        </w:rPr>
        <w:t xml:space="preserve"> Porto Alegre. Artes Médicas 1981.</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AYRES, J.R; et al. </w:t>
      </w:r>
      <w:r w:rsidR="00586E51" w:rsidRPr="00904D16">
        <w:rPr>
          <w:rFonts w:ascii="Times New Roman" w:eastAsia="Arial" w:hAnsi="Times New Roman" w:cs="Times New Roman"/>
          <w:b/>
          <w:bCs/>
          <w:color w:val="000000"/>
        </w:rPr>
        <w:t>Vulnerabilidades prevenção em tempo de aids</w:t>
      </w:r>
      <w:r w:rsidRPr="00904D16">
        <w:rPr>
          <w:rFonts w:ascii="Times New Roman" w:eastAsia="Arial" w:hAnsi="Times New Roman" w:cs="Times New Roman"/>
          <w:i/>
          <w:color w:val="000000"/>
        </w:rPr>
        <w:t>In</w:t>
      </w:r>
      <w:r w:rsidRPr="00904D16">
        <w:rPr>
          <w:rFonts w:ascii="Times New Roman" w:eastAsia="Arial" w:hAnsi="Times New Roman" w:cs="Times New Roman"/>
          <w:color w:val="000000"/>
        </w:rPr>
        <w:t xml:space="preserve">: PARKER, R. et al. Sexualidade pelo avesso: Direitos, Identidades e Poder. São Paulo: Editora 34, 1999. </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ÁRIES. P. </w:t>
      </w:r>
      <w:r w:rsidR="00586E51" w:rsidRPr="00904D16">
        <w:rPr>
          <w:rFonts w:ascii="Times New Roman" w:eastAsia="Arial" w:hAnsi="Times New Roman" w:cs="Times New Roman"/>
          <w:b/>
          <w:bCs/>
          <w:iCs/>
          <w:color w:val="000000"/>
        </w:rPr>
        <w:t>História social da criança e da família</w:t>
      </w:r>
      <w:r w:rsidRPr="00904D16">
        <w:rPr>
          <w:rFonts w:ascii="Times New Roman" w:eastAsia="Arial" w:hAnsi="Times New Roman" w:cs="Times New Roman"/>
          <w:b/>
          <w:bCs/>
          <w:i/>
          <w:iCs/>
          <w:color w:val="000000"/>
        </w:rPr>
        <w:t>.</w:t>
      </w:r>
      <w:r w:rsidRPr="00904D16">
        <w:rPr>
          <w:rFonts w:ascii="Times New Roman" w:eastAsia="Arial" w:hAnsi="Times New Roman" w:cs="Times New Roman"/>
          <w:color w:val="000000"/>
        </w:rPr>
        <w:t xml:space="preserve"> Rio de Janeiro: Guanabara Koogan, 1981. </w:t>
      </w:r>
    </w:p>
    <w:p w:rsidR="004C5E1C" w:rsidRPr="00904D16" w:rsidRDefault="004C5E1C" w:rsidP="00EC6322">
      <w:pPr>
        <w:spacing w:before="57" w:after="57" w:line="360" w:lineRule="auto"/>
        <w:ind w:right="57"/>
        <w:jc w:val="both"/>
        <w:rPr>
          <w:rFonts w:hint="eastAsia"/>
        </w:rPr>
      </w:pPr>
      <w:r w:rsidRPr="00904D16">
        <w:rPr>
          <w:rFonts w:ascii="Times New Roman" w:eastAsia="Arial" w:hAnsi="Times New Roman" w:cs="Times New Roman"/>
          <w:color w:val="000000"/>
        </w:rPr>
        <w:t xml:space="preserve">BAHLS, S. C. </w:t>
      </w:r>
      <w:r w:rsidR="00586E51" w:rsidRPr="00904D16">
        <w:rPr>
          <w:rFonts w:ascii="Times New Roman" w:eastAsia="Arial" w:hAnsi="Times New Roman" w:cs="Times New Roman"/>
          <w:b/>
          <w:bCs/>
          <w:color w:val="000000"/>
        </w:rPr>
        <w:t>Epidemiologia de sintomas depressivos em adolescentes de uma escola pública em Curitiba. Brasil. Revista brasileira de psiquiatria,</w:t>
      </w:r>
      <w:r w:rsidRPr="00904D16">
        <w:rPr>
          <w:rFonts w:ascii="Times New Roman" w:eastAsia="Arial" w:hAnsi="Times New Roman" w:cs="Times New Roman"/>
          <w:color w:val="000000"/>
        </w:rPr>
        <w:t xml:space="preserve"> 2002.</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BAPTISTA, Makilim Nunes; Adriana Said Daher; DIAS, Rosana Righetto. </w:t>
      </w:r>
      <w:r w:rsidR="00586E51" w:rsidRPr="00904D16">
        <w:rPr>
          <w:rFonts w:ascii="Times New Roman" w:eastAsia="Arial" w:hAnsi="Times New Roman" w:cs="Times New Roman"/>
          <w:b/>
          <w:bCs/>
          <w:color w:val="000000"/>
        </w:rPr>
        <w:t>Estrutura e suporte familiar como fatores de risco na depressão de adolescentes</w:t>
      </w:r>
      <w:r w:rsidRPr="00904D16">
        <w:rPr>
          <w:rFonts w:ascii="Times New Roman" w:eastAsia="Arial" w:hAnsi="Times New Roman" w:cs="Times New Roman"/>
          <w:color w:val="000000"/>
        </w:rPr>
        <w:t xml:space="preserve">.Psicol. cienc. prof., Brasília, v. 21,n. 2,p. 52-61, June 2001. </w:t>
      </w:r>
      <w:r w:rsidRPr="00904D16">
        <w:rPr>
          <w:rFonts w:ascii="Times New Roman" w:eastAsia="Arial" w:hAnsi="Times New Roman" w:cs="Times New Roman"/>
          <w:color w:val="000000"/>
          <w:lang w:val="en-US"/>
        </w:rPr>
        <w:t xml:space="preserve">Available from &lt;http://www.scielo.br/scielo.phpscript=sci_arttext&amp;pid=S141498932001000200007&amp;lng=en&amp;nrm=iso&gt;. access on 27 June 2018. </w:t>
      </w:r>
      <w:hyperlink r:id="rId9" w:history="1">
        <w:r w:rsidRPr="00904D16">
          <w:rPr>
            <w:rStyle w:val="ListLabel1"/>
            <w:rFonts w:ascii="Times New Roman" w:hAnsi="Times New Roman" w:cs="Times New Roman"/>
          </w:rPr>
          <w:t>http://dx.doi.org/10.1590/S1414-98932001000200007</w:t>
        </w:r>
      </w:hyperlink>
      <w:r w:rsidRPr="00904D16">
        <w:rPr>
          <w:rFonts w:ascii="Times New Roman" w:eastAsia="Arial" w:hAnsi="Times New Roman" w:cs="Times New Roman"/>
          <w:color w:val="000000"/>
        </w:rPr>
        <w:t>.</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BRAGA. Luiza de Lima e  DELL'AGLIO, Débora Dalbosco. </w:t>
      </w:r>
      <w:r w:rsidR="00586E51" w:rsidRPr="00904D16">
        <w:rPr>
          <w:rFonts w:ascii="Times New Roman" w:eastAsia="Arial" w:hAnsi="Times New Roman" w:cs="Times New Roman"/>
          <w:b/>
          <w:bCs/>
          <w:color w:val="000000"/>
        </w:rPr>
        <w:t>Suicídio na adolescência: fatores de risco, depressão e gênero.</w:t>
      </w:r>
      <w:r w:rsidRPr="00904D16">
        <w:rPr>
          <w:rFonts w:ascii="Times New Roman" w:eastAsia="Arial" w:hAnsi="Times New Roman" w:cs="Times New Roman"/>
          <w:color w:val="000000"/>
        </w:rPr>
        <w:t xml:space="preserve"> Contextos Clínic [online]. 2013, vol.6, n.1 [citado 2018-06-22], pp. 2-14. Disponível em: &lt;http://pepsic.bvsalud.org/scielo.phpscript=sci_arttext&amp;pid=S198334822013000100002&amp;lng=pt&amp;nrm=iso&gt;. ISSN 1983-3482. </w:t>
      </w:r>
      <w:hyperlink r:id="rId10" w:history="1">
        <w:r w:rsidRPr="00904D16">
          <w:rPr>
            <w:rStyle w:val="ListLabel1"/>
            <w:rFonts w:ascii="Times New Roman" w:hAnsi="Times New Roman" w:cs="Times New Roman"/>
          </w:rPr>
          <w:t>http://dx.doi.org/10.4013/ctc.2013.61.01</w:t>
        </w:r>
      </w:hyperlink>
      <w:r w:rsidRPr="00904D16">
        <w:rPr>
          <w:rFonts w:ascii="Times New Roman" w:eastAsia="Arial" w:hAnsi="Times New Roman" w:cs="Times New Roman"/>
          <w:color w:val="000000"/>
        </w:rPr>
        <w:t>.</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CALLIGARIS, C. </w:t>
      </w:r>
      <w:r w:rsidRPr="00904D16">
        <w:rPr>
          <w:rFonts w:ascii="Times New Roman" w:eastAsia="Arial" w:hAnsi="Times New Roman" w:cs="Times New Roman"/>
          <w:b/>
          <w:bCs/>
          <w:color w:val="000000"/>
        </w:rPr>
        <w:t>Adolescência.</w:t>
      </w:r>
      <w:r w:rsidRPr="00904D16">
        <w:rPr>
          <w:rFonts w:ascii="Times New Roman" w:eastAsia="Arial" w:hAnsi="Times New Roman" w:cs="Times New Roman"/>
          <w:color w:val="000000"/>
        </w:rPr>
        <w:t xml:space="preserve"> São Paulo: Publifolha, 2000. </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CASTRO, M. G., ABRAMOVAY, M., Rua, M. G.; ANDRADE, E. R. </w:t>
      </w:r>
      <w:r w:rsidR="00586E51" w:rsidRPr="00904D16">
        <w:rPr>
          <w:rFonts w:ascii="Times New Roman" w:eastAsia="Arial" w:hAnsi="Times New Roman" w:cs="Times New Roman"/>
          <w:b/>
          <w:bCs/>
          <w:color w:val="000000"/>
        </w:rPr>
        <w:t>Cultivando vida, desarmando violências: experiências em educação, cultura, lazer, esporte e cidadania com jovens em situação de pobreza.</w:t>
      </w:r>
      <w:r w:rsidRPr="00904D16">
        <w:rPr>
          <w:rFonts w:ascii="Times New Roman" w:eastAsia="Arial" w:hAnsi="Times New Roman" w:cs="Times New Roman"/>
          <w:color w:val="000000"/>
        </w:rPr>
        <w:t xml:space="preserve"> Brasília: UNESCO, Brasil Telecom, Fundação Kellogs, BID, 2001. </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COIMBRA, C. </w:t>
      </w:r>
      <w:r w:rsidR="00586E51" w:rsidRPr="00904D16">
        <w:rPr>
          <w:rFonts w:ascii="Times New Roman" w:eastAsia="Arial" w:hAnsi="Times New Roman" w:cs="Times New Roman"/>
          <w:b/>
          <w:bCs/>
          <w:color w:val="000000"/>
        </w:rPr>
        <w:t>Operação rio: o mito das classes perigosas.</w:t>
      </w:r>
      <w:r w:rsidRPr="00904D16">
        <w:rPr>
          <w:rFonts w:ascii="Times New Roman" w:eastAsia="Arial" w:hAnsi="Times New Roman" w:cs="Times New Roman"/>
          <w:color w:val="000000"/>
        </w:rPr>
        <w:t xml:space="preserve"> Rio de Janeiro: Oficina do Autor; Niterói: Intertexto, 2001. </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ERIKSON, E.H: </w:t>
      </w:r>
      <w:r w:rsidR="00586E51" w:rsidRPr="00904D16">
        <w:rPr>
          <w:rFonts w:ascii="Times New Roman" w:eastAsia="Arial" w:hAnsi="Times New Roman" w:cs="Times New Roman"/>
          <w:b/>
          <w:bCs/>
          <w:color w:val="000000"/>
        </w:rPr>
        <w:t>identidade: juventude e crise</w:t>
      </w:r>
      <w:r w:rsidRPr="00904D16">
        <w:rPr>
          <w:rFonts w:ascii="Times New Roman" w:eastAsia="Arial" w:hAnsi="Times New Roman" w:cs="Times New Roman"/>
          <w:color w:val="000000"/>
        </w:rPr>
        <w:t>.2ª ed. Trad. A.Cabral. Rio de Janeiro: Zahar, 1976</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lastRenderedPageBreak/>
        <w:t xml:space="preserve">FREUD, Sigmund. </w:t>
      </w:r>
      <w:r w:rsidR="00586E51" w:rsidRPr="00904D16">
        <w:rPr>
          <w:rFonts w:ascii="Times New Roman" w:eastAsia="Arial" w:hAnsi="Times New Roman" w:cs="Times New Roman"/>
          <w:b/>
          <w:bCs/>
          <w:color w:val="000000"/>
        </w:rPr>
        <w:t>O mal estar da civilização</w:t>
      </w:r>
      <w:r w:rsidRPr="00904D16">
        <w:rPr>
          <w:rFonts w:ascii="Times New Roman" w:eastAsia="Arial" w:hAnsi="Times New Roman" w:cs="Times New Roman"/>
          <w:b/>
          <w:bCs/>
          <w:color w:val="000000"/>
        </w:rPr>
        <w:t xml:space="preserve">. </w:t>
      </w:r>
      <w:r w:rsidRPr="00904D16">
        <w:rPr>
          <w:rFonts w:ascii="Times New Roman" w:eastAsia="Arial" w:hAnsi="Times New Roman" w:cs="Times New Roman"/>
          <w:color w:val="000000"/>
        </w:rPr>
        <w:t>Trad P. César S. 123-253. São Paulo. Companhia das Letras, 2010.</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FREUD, S. (1905). </w:t>
      </w:r>
      <w:r w:rsidR="00586E51" w:rsidRPr="00904D16">
        <w:rPr>
          <w:rFonts w:ascii="Times New Roman" w:eastAsia="Arial" w:hAnsi="Times New Roman" w:cs="Times New Roman"/>
          <w:b/>
          <w:bCs/>
          <w:color w:val="000000"/>
        </w:rPr>
        <w:t>Três ensaios sobre a teoria da sexualidade</w:t>
      </w:r>
      <w:r w:rsidRPr="00904D16">
        <w:rPr>
          <w:rFonts w:ascii="Times New Roman" w:eastAsia="Arial" w:hAnsi="Times New Roman" w:cs="Times New Roman"/>
          <w:color w:val="000000"/>
        </w:rPr>
        <w:t xml:space="preserve">. Trad J. Salomão. p. 123-253. Rio de Janeiro: Imago, 1972. (Edição standard brasileira das obras psicológicas completas de Sigmund Freud, 7). </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GEOTHE. JW. </w:t>
      </w:r>
      <w:r w:rsidR="00586E51" w:rsidRPr="00904D16">
        <w:rPr>
          <w:rFonts w:ascii="Times New Roman" w:eastAsia="Arial" w:hAnsi="Times New Roman" w:cs="Times New Roman"/>
          <w:b/>
          <w:bCs/>
          <w:color w:val="000000"/>
        </w:rPr>
        <w:t>Os sofrimentos do jovem werther</w:t>
      </w:r>
      <w:r w:rsidRPr="00904D16">
        <w:rPr>
          <w:rFonts w:ascii="Times New Roman" w:eastAsia="Arial" w:hAnsi="Times New Roman" w:cs="Times New Roman"/>
          <w:color w:val="000000"/>
        </w:rPr>
        <w:t>. São Paulo: Martins Fontes, 2007.</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GROSMAM. Eloisa </w:t>
      </w:r>
      <w:r w:rsidR="00586E51" w:rsidRPr="00904D16">
        <w:rPr>
          <w:rFonts w:ascii="Times New Roman" w:eastAsia="Arial" w:hAnsi="Times New Roman" w:cs="Times New Roman"/>
          <w:b/>
          <w:bCs/>
          <w:color w:val="000000"/>
        </w:rPr>
        <w:t>a construção do conceito de adolescência no ocidente</w:t>
      </w:r>
      <w:r w:rsidRPr="00904D16">
        <w:rPr>
          <w:rFonts w:ascii="Times New Roman" w:eastAsia="Arial" w:hAnsi="Times New Roman" w:cs="Times New Roman"/>
          <w:color w:val="000000"/>
        </w:rPr>
        <w:t>, PS 2010.</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GUARESCHI, N. M. F. </w:t>
      </w:r>
      <w:r w:rsidR="00947310" w:rsidRPr="00904D16">
        <w:rPr>
          <w:rFonts w:ascii="Times New Roman" w:eastAsia="Arial" w:hAnsi="Times New Roman" w:cs="Times New Roman"/>
          <w:b/>
          <w:bCs/>
          <w:color w:val="000000"/>
        </w:rPr>
        <w:t>Estudos culturais e produção de sentidos: diálogos possíveis na construção de conhecimento.</w:t>
      </w:r>
      <w:r w:rsidRPr="00904D16">
        <w:rPr>
          <w:rFonts w:ascii="Times New Roman" w:eastAsia="Arial" w:hAnsi="Times New Roman" w:cs="Times New Roman"/>
          <w:i/>
          <w:color w:val="000000"/>
        </w:rPr>
        <w:t>In:</w:t>
      </w:r>
      <w:r w:rsidRPr="00904D16">
        <w:rPr>
          <w:rFonts w:ascii="Times New Roman" w:eastAsia="Arial" w:hAnsi="Times New Roman" w:cs="Times New Roman"/>
          <w:color w:val="000000"/>
        </w:rPr>
        <w:t xml:space="preserve"> SEMINÁRIO BRASILEIRO DE ESTUDOS CULTURAIS EM EDUCAÇÃO: PODER IDENTIDADE E DIFERENÇA,2004, Canoas: 2004. Anais do 1º Seminário Brasileiro de Estudos Culturais em Educação: poder identidade e diferença (CD-Rom). Canoas: Editora da ULBRA, 2004</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KEHL. Maria Rita. </w:t>
      </w:r>
      <w:r w:rsidR="00947310" w:rsidRPr="00904D16">
        <w:rPr>
          <w:rFonts w:ascii="Times New Roman" w:eastAsia="Arial" w:hAnsi="Times New Roman" w:cs="Times New Roman"/>
          <w:b/>
          <w:bCs/>
          <w:color w:val="000000"/>
        </w:rPr>
        <w:t>O tempo e o cão</w:t>
      </w:r>
      <w:r w:rsidR="00AB5869" w:rsidRPr="00904D16">
        <w:rPr>
          <w:rFonts w:ascii="Times New Roman" w:eastAsia="Arial" w:hAnsi="Times New Roman" w:cs="Times New Roman"/>
          <w:b/>
          <w:bCs/>
          <w:color w:val="000000"/>
        </w:rPr>
        <w:t xml:space="preserve">, </w:t>
      </w:r>
      <w:r w:rsidRPr="00904D16">
        <w:rPr>
          <w:rFonts w:ascii="Times New Roman" w:eastAsia="Arial" w:hAnsi="Times New Roman" w:cs="Times New Roman"/>
          <w:color w:val="000000"/>
        </w:rPr>
        <w:t>2009.</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LAVISKY David L. </w:t>
      </w:r>
      <w:r w:rsidR="00947310" w:rsidRPr="00904D16">
        <w:rPr>
          <w:rFonts w:ascii="Times New Roman" w:eastAsia="Arial" w:hAnsi="Times New Roman" w:cs="Times New Roman"/>
          <w:b/>
          <w:bCs/>
          <w:color w:val="000000"/>
        </w:rPr>
        <w:t>Adolescência e violência,</w:t>
      </w:r>
      <w:r w:rsidRPr="00904D16">
        <w:rPr>
          <w:rFonts w:ascii="Times New Roman" w:eastAsia="Arial" w:hAnsi="Times New Roman" w:cs="Times New Roman"/>
          <w:color w:val="000000"/>
        </w:rPr>
        <w:t>1996.</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LOVISI. Giovanni Marcos, Santos Simone Agadir, Letícia Legay, Lucia Abelha, Elie Valencia. </w:t>
      </w:r>
      <w:r w:rsidR="00947310" w:rsidRPr="00904D16">
        <w:rPr>
          <w:rFonts w:ascii="Times New Roman" w:eastAsia="Arial" w:hAnsi="Times New Roman" w:cs="Times New Roman"/>
          <w:b/>
          <w:bCs/>
          <w:color w:val="000000"/>
        </w:rPr>
        <w:t>Análise epidemiológica do suicídio no brasil entre 1980 e 2006</w:t>
      </w:r>
      <w:r w:rsidRPr="00904D16">
        <w:rPr>
          <w:rFonts w:ascii="Times New Roman" w:eastAsia="Arial" w:hAnsi="Times New Roman" w:cs="Times New Roman"/>
          <w:color w:val="000000"/>
        </w:rPr>
        <w:t xml:space="preserve"> https://repositorio.observatoriodocuidado.org/bitstream/handle/53/2/rbp.S151644462009000600007.pdf </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MOURA. MírianAparecida  e ARAÚJO Luciene Guimarães. </w:t>
      </w:r>
      <w:r w:rsidR="00947310" w:rsidRPr="00904D16">
        <w:rPr>
          <w:rFonts w:ascii="Times New Roman" w:eastAsia="Arial" w:hAnsi="Times New Roman" w:cs="Times New Roman"/>
          <w:b/>
          <w:bCs/>
          <w:color w:val="000000"/>
        </w:rPr>
        <w:t>Levantamentos de estratégias especificas utilizadas por psicólogos clínicos no tratamento de adolescentes com comportamento suicida.</w:t>
      </w:r>
      <w:hyperlink r:id="rId11" w:history="1">
        <w:r w:rsidRPr="00904D16">
          <w:rPr>
            <w:rStyle w:val="ListLabel1"/>
            <w:rFonts w:ascii="Times New Roman" w:hAnsi="Times New Roman" w:cs="Times New Roman"/>
          </w:rPr>
          <w:t>http://jornal.faculdadecienciasdavida.com.br/index.php/RBCV/article/view/335/267</w:t>
        </w:r>
      </w:hyperlink>
      <w:r w:rsidRPr="00904D16">
        <w:rPr>
          <w:rFonts w:ascii="Times New Roman" w:eastAsia="Arial" w:hAnsi="Times New Roman" w:cs="Times New Roman"/>
          <w:color w:val="000000"/>
        </w:rPr>
        <w:t>.</w:t>
      </w:r>
    </w:p>
    <w:p w:rsidR="004C5E1C" w:rsidRPr="00904D16"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OMS (2017). </w:t>
      </w:r>
      <w:r w:rsidR="00947310" w:rsidRPr="00904D16">
        <w:rPr>
          <w:rFonts w:ascii="Times New Roman" w:eastAsia="Arial" w:hAnsi="Times New Roman" w:cs="Times New Roman"/>
          <w:b/>
          <w:bCs/>
          <w:color w:val="000000"/>
        </w:rPr>
        <w:t>Com depressão no topo da lista de causas de problemas de saúde, oms lança a campanha “vamos conversar”</w:t>
      </w:r>
      <w:r w:rsidRPr="00904D16">
        <w:rPr>
          <w:rFonts w:ascii="Times New Roman" w:eastAsia="Arial" w:hAnsi="Times New Roman" w:cs="Times New Roman"/>
          <w:color w:val="000000"/>
        </w:rPr>
        <w:t>. Disponível em: https://www.paho.org/bra/index.phpoption=com_content&amp;view=article&amp;id=5385:com-depressao-no-topo-da-lista-decausas-de-problemas-de-saude-oms-lanca-a-campanha-vamosconversar&amp;Itemid=839. Acesso em: 14 de jun. 2018. Organização Mundial de Saúde.</w:t>
      </w:r>
    </w:p>
    <w:p w:rsidR="004C5E1C" w:rsidRDefault="004C5E1C" w:rsidP="00EC6322">
      <w:pPr>
        <w:spacing w:line="360" w:lineRule="auto"/>
        <w:ind w:right="57"/>
        <w:jc w:val="both"/>
        <w:rPr>
          <w:rFonts w:hint="eastAsia"/>
        </w:rPr>
      </w:pPr>
      <w:r w:rsidRPr="00904D16">
        <w:rPr>
          <w:rFonts w:ascii="Times New Roman" w:eastAsia="Arial" w:hAnsi="Times New Roman" w:cs="Times New Roman"/>
          <w:color w:val="000000"/>
        </w:rPr>
        <w:t xml:space="preserve">PEREIRA do Rêgo Barros, Airton, da Penha de Lima Coutinho, Maria, Fernandes Araújo, Ludgleydson, Ramos Castanha, Alessandra, </w:t>
      </w:r>
      <w:r w:rsidR="00947310" w:rsidRPr="00904D16">
        <w:rPr>
          <w:rFonts w:ascii="Times New Roman" w:eastAsia="Arial" w:hAnsi="Times New Roman" w:cs="Times New Roman"/>
          <w:b/>
          <w:bCs/>
          <w:color w:val="000000"/>
        </w:rPr>
        <w:t>as representações sociais da depressão em adolescentes no contexto do ensino médio</w:t>
      </w:r>
      <w:r w:rsidRPr="00904D16">
        <w:rPr>
          <w:rFonts w:ascii="Times New Roman" w:eastAsia="Arial" w:hAnsi="Times New Roman" w:cs="Times New Roman"/>
          <w:color w:val="000000"/>
        </w:rPr>
        <w:t>. Estudos de Psicologia [</w:t>
      </w:r>
      <w:r w:rsidR="00EC6322">
        <w:rPr>
          <w:rFonts w:ascii="Times New Roman" w:eastAsia="Arial" w:hAnsi="Times New Roman" w:cs="Times New Roman"/>
          <w:color w:val="000000"/>
        </w:rPr>
        <w:t>enlinea] 2006, 23 (Enero-Marzo)</w:t>
      </w:r>
      <w:r w:rsidRPr="00904D16">
        <w:rPr>
          <w:rFonts w:ascii="Times New Roman" w:eastAsia="Arial" w:hAnsi="Times New Roman" w:cs="Times New Roman"/>
          <w:color w:val="000000"/>
        </w:rPr>
        <w:t>: [Fecha de consulta: 27 de junio de 2018] Disponibleen:&lt;http://www.redalyc.org/articulo.oa?id=395336320003&gt;     ISSN 0103166X.</w:t>
      </w:r>
    </w:p>
    <w:sectPr w:rsidR="004C5E1C" w:rsidSect="00EC6322">
      <w:headerReference w:type="default" r:id="rId12"/>
      <w:headerReference w:type="first" r:id="rId13"/>
      <w:pgSz w:w="11906" w:h="16838"/>
      <w:pgMar w:top="1701" w:right="1418" w:bottom="1701" w:left="1418" w:header="1134" w:footer="720" w:gutter="0"/>
      <w:cols w:space="720"/>
      <w:docGrid w:linePitch="600" w:charSpace="387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1EA" w:rsidRDefault="00A841EA">
      <w:pPr>
        <w:rPr>
          <w:rFonts w:hint="eastAsia"/>
        </w:rPr>
      </w:pPr>
      <w:r>
        <w:separator/>
      </w:r>
    </w:p>
  </w:endnote>
  <w:endnote w:type="continuationSeparator" w:id="1">
    <w:p w:rsidR="00A841EA" w:rsidRDefault="00A841E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00000001"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1EA" w:rsidRDefault="00A841EA">
      <w:pPr>
        <w:rPr>
          <w:rFonts w:hint="eastAsia"/>
        </w:rPr>
      </w:pPr>
      <w:r>
        <w:separator/>
      </w:r>
    </w:p>
  </w:footnote>
  <w:footnote w:type="continuationSeparator" w:id="1">
    <w:p w:rsidR="00A841EA" w:rsidRDefault="00A841EA">
      <w:pPr>
        <w:rPr>
          <w:rFonts w:hint="eastAsia"/>
        </w:rPr>
      </w:pPr>
      <w:r>
        <w:continuationSeparator/>
      </w:r>
    </w:p>
  </w:footnote>
  <w:footnote w:id="2">
    <w:p w:rsidR="004C5E1C" w:rsidRDefault="004C5E1C">
      <w:pPr>
        <w:pStyle w:val="Textodenotaderodap"/>
        <w:rPr>
          <w:rFonts w:hint="eastAsia"/>
        </w:rPr>
      </w:pPr>
      <w:r>
        <w:rPr>
          <w:rStyle w:val="Caracteresdenotaderodap"/>
          <w:rFonts w:ascii="Times New Roman" w:hAnsi="Times New Roman"/>
        </w:rPr>
        <w:footnoteRef/>
      </w:r>
      <w:r>
        <w:tab/>
        <w:t xml:space="preserve">Graduanda do 2º Semestre do Curso de Psicologia: </w:t>
      </w:r>
      <w:hyperlink r:id="rId1" w:history="1">
        <w:r>
          <w:rPr>
            <w:rStyle w:val="Hyperlink"/>
          </w:rPr>
          <w:t>midiaifm@gmail.com</w:t>
        </w:r>
      </w:hyperlink>
    </w:p>
  </w:footnote>
  <w:footnote w:id="3">
    <w:p w:rsidR="004C5E1C" w:rsidRDefault="004C5E1C">
      <w:pPr>
        <w:pStyle w:val="Textodenotaderodap"/>
        <w:rPr>
          <w:rFonts w:hint="eastAsia"/>
        </w:rPr>
      </w:pPr>
      <w:r>
        <w:rPr>
          <w:rStyle w:val="Caracteresdenotaderodap"/>
          <w:rFonts w:ascii="Times New Roman" w:hAnsi="Times New Roman"/>
        </w:rPr>
        <w:footnoteRef/>
      </w:r>
      <w:r>
        <w:tab/>
        <w:t xml:space="preserve">Mestre em Psicologia: </w:t>
      </w:r>
      <w:hyperlink r:id="rId2" w:history="1">
        <w:r>
          <w:rPr>
            <w:rStyle w:val="Hyperlink"/>
          </w:rPr>
          <w:t>hfsousa2010@gmail.com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1C" w:rsidRDefault="004C5E1C">
    <w:pPr>
      <w:pStyle w:val="Cabealho"/>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E1C" w:rsidRDefault="004C5E1C">
    <w:pP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doNotUseHTMLParagraphAutoSpacing/>
  </w:compat>
  <w:rsids>
    <w:rsidRoot w:val="000B4FCB"/>
    <w:rsid w:val="000B4FCB"/>
    <w:rsid w:val="002F6E9C"/>
    <w:rsid w:val="0034465F"/>
    <w:rsid w:val="0037705C"/>
    <w:rsid w:val="003D61FF"/>
    <w:rsid w:val="0041485A"/>
    <w:rsid w:val="004C5E1C"/>
    <w:rsid w:val="00586E51"/>
    <w:rsid w:val="005A3458"/>
    <w:rsid w:val="005A53E8"/>
    <w:rsid w:val="00745308"/>
    <w:rsid w:val="00866AF1"/>
    <w:rsid w:val="00904D16"/>
    <w:rsid w:val="00914128"/>
    <w:rsid w:val="00947310"/>
    <w:rsid w:val="009870A1"/>
    <w:rsid w:val="00A841EA"/>
    <w:rsid w:val="00AB5869"/>
    <w:rsid w:val="00CC78DF"/>
    <w:rsid w:val="00D02A55"/>
    <w:rsid w:val="00DA0B59"/>
    <w:rsid w:val="00DB268B"/>
    <w:rsid w:val="00EC63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59"/>
    <w:pPr>
      <w:suppressAutoHyphens/>
    </w:pPr>
    <w:rPr>
      <w:rFonts w:ascii="Liberation Serif" w:eastAsia="SimSun" w:hAnsi="Liberation Serif" w:cs="Arial"/>
      <w:kern w:val="2"/>
      <w:sz w:val="24"/>
      <w:szCs w:val="24"/>
      <w:lang w:eastAsia="zh-CN" w:bidi="hi-IN"/>
    </w:rPr>
  </w:style>
  <w:style w:type="paragraph" w:styleId="Ttulo1">
    <w:name w:val="heading 1"/>
    <w:next w:val="Normal"/>
    <w:qFormat/>
    <w:rsid w:val="00DA0B59"/>
    <w:pPr>
      <w:keepNext/>
      <w:keepLines/>
      <w:tabs>
        <w:tab w:val="num" w:pos="0"/>
      </w:tabs>
      <w:suppressAutoHyphens/>
      <w:spacing w:before="240"/>
      <w:outlineLvl w:val="0"/>
    </w:pPr>
    <w:rPr>
      <w:rFonts w:ascii="Cambria" w:eastAsia="Cambria" w:hAnsi="Cambria" w:cs="Cambria"/>
      <w:color w:val="365F91"/>
      <w:kern w:val="2"/>
      <w:sz w:val="32"/>
      <w:szCs w:val="32"/>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DA0B59"/>
  </w:style>
  <w:style w:type="character" w:customStyle="1" w:styleId="Caracteresdenotaderodap">
    <w:name w:val="Caracteres de nota de rodapé"/>
    <w:rsid w:val="00DA0B59"/>
  </w:style>
  <w:style w:type="character" w:customStyle="1" w:styleId="Refdenotaderodap1">
    <w:name w:val="Ref. de nota de rodapé1"/>
    <w:rsid w:val="00DA0B59"/>
    <w:rPr>
      <w:vertAlign w:val="superscript"/>
    </w:rPr>
  </w:style>
  <w:style w:type="character" w:styleId="Hyperlink">
    <w:name w:val="Hyperlink"/>
    <w:rsid w:val="00DA0B59"/>
    <w:rPr>
      <w:color w:val="000080"/>
      <w:u w:val="single"/>
    </w:rPr>
  </w:style>
  <w:style w:type="character" w:customStyle="1" w:styleId="ListLabel1">
    <w:name w:val="ListLabel 1"/>
    <w:rsid w:val="00DA0B59"/>
    <w:rPr>
      <w:rFonts w:ascii="Arial" w:eastAsia="Arial" w:hAnsi="Arial" w:cs="Arial"/>
      <w:color w:val="000000"/>
      <w:sz w:val="24"/>
      <w:szCs w:val="24"/>
    </w:rPr>
  </w:style>
  <w:style w:type="character" w:customStyle="1" w:styleId="Caracteresdenotadefim">
    <w:name w:val="Caracteres de nota de fim"/>
    <w:rsid w:val="00DA0B59"/>
    <w:rPr>
      <w:vertAlign w:val="superscript"/>
    </w:rPr>
  </w:style>
  <w:style w:type="character" w:customStyle="1" w:styleId="WW-Caracteresdenotadefim">
    <w:name w:val="WW-Caracteres de nota de fim"/>
    <w:rsid w:val="00DA0B59"/>
  </w:style>
  <w:style w:type="character" w:styleId="Refdenotaderodap">
    <w:name w:val="footnote reference"/>
    <w:rsid w:val="00DA0B59"/>
    <w:rPr>
      <w:vertAlign w:val="superscript"/>
    </w:rPr>
  </w:style>
  <w:style w:type="character" w:styleId="Refdenotadefim">
    <w:name w:val="endnote reference"/>
    <w:rsid w:val="00DA0B59"/>
    <w:rPr>
      <w:vertAlign w:val="superscript"/>
    </w:rPr>
  </w:style>
  <w:style w:type="paragraph" w:customStyle="1" w:styleId="Ttulo2">
    <w:name w:val="Título2"/>
    <w:basedOn w:val="Ttulo10"/>
    <w:next w:val="Subttulo"/>
    <w:rsid w:val="00DA0B59"/>
  </w:style>
  <w:style w:type="paragraph" w:styleId="Corpodetexto">
    <w:name w:val="Body Text"/>
    <w:basedOn w:val="Normal"/>
    <w:rsid w:val="00DA0B59"/>
    <w:pPr>
      <w:spacing w:after="140" w:line="276" w:lineRule="auto"/>
    </w:pPr>
  </w:style>
  <w:style w:type="paragraph" w:styleId="Lista">
    <w:name w:val="List"/>
    <w:basedOn w:val="Corpodetexto"/>
    <w:rsid w:val="00DA0B59"/>
  </w:style>
  <w:style w:type="paragraph" w:styleId="Legenda">
    <w:name w:val="caption"/>
    <w:basedOn w:val="Normal"/>
    <w:qFormat/>
    <w:rsid w:val="00DA0B59"/>
    <w:pPr>
      <w:suppressLineNumbers/>
      <w:spacing w:before="120" w:after="120"/>
    </w:pPr>
    <w:rPr>
      <w:i/>
      <w:iCs/>
    </w:rPr>
  </w:style>
  <w:style w:type="paragraph" w:customStyle="1" w:styleId="ndice">
    <w:name w:val="Índice"/>
    <w:basedOn w:val="Normal"/>
    <w:rsid w:val="00DA0B59"/>
    <w:pPr>
      <w:suppressLineNumbers/>
    </w:pPr>
  </w:style>
  <w:style w:type="paragraph" w:customStyle="1" w:styleId="Ttulo10">
    <w:name w:val="Título1"/>
    <w:basedOn w:val="Normal"/>
    <w:next w:val="Corpodetexto"/>
    <w:rsid w:val="00DA0B59"/>
    <w:pPr>
      <w:keepNext/>
      <w:spacing w:before="240" w:after="120"/>
    </w:pPr>
    <w:rPr>
      <w:rFonts w:ascii="Liberation Sans" w:eastAsia="Microsoft YaHei" w:hAnsi="Liberation Sans"/>
      <w:sz w:val="28"/>
      <w:szCs w:val="28"/>
    </w:rPr>
  </w:style>
  <w:style w:type="paragraph" w:styleId="Subttulo">
    <w:name w:val="Subtitle"/>
    <w:basedOn w:val="Ttulo10"/>
    <w:next w:val="Corpodetexto"/>
    <w:qFormat/>
    <w:rsid w:val="00DA0B59"/>
    <w:pPr>
      <w:jc w:val="center"/>
    </w:pPr>
    <w:rPr>
      <w:i/>
      <w:iCs/>
    </w:rPr>
  </w:style>
  <w:style w:type="paragraph" w:customStyle="1" w:styleId="Legenda1">
    <w:name w:val="Legenda1"/>
    <w:basedOn w:val="Normal"/>
    <w:rsid w:val="00DA0B59"/>
    <w:pPr>
      <w:suppressLineNumbers/>
      <w:spacing w:before="120" w:after="120"/>
    </w:pPr>
    <w:rPr>
      <w:i/>
      <w:iCs/>
    </w:rPr>
  </w:style>
  <w:style w:type="paragraph" w:styleId="Cabealho">
    <w:name w:val="header"/>
    <w:basedOn w:val="Normal"/>
    <w:rsid w:val="00DA0B59"/>
    <w:pPr>
      <w:suppressLineNumbers/>
      <w:tabs>
        <w:tab w:val="center" w:pos="4819"/>
        <w:tab w:val="right" w:pos="9638"/>
      </w:tabs>
    </w:pPr>
  </w:style>
  <w:style w:type="paragraph" w:styleId="Rodap">
    <w:name w:val="footer"/>
    <w:basedOn w:val="Normal"/>
    <w:rsid w:val="00DA0B59"/>
    <w:pPr>
      <w:tabs>
        <w:tab w:val="center" w:pos="4419"/>
        <w:tab w:val="right" w:pos="8838"/>
      </w:tabs>
      <w:spacing w:line="100" w:lineRule="atLeast"/>
    </w:pPr>
    <w:rPr>
      <w:rFonts w:eastAsia="Times New Roman" w:cs="Times New Roman"/>
      <w:lang w:val="en-US"/>
    </w:rPr>
  </w:style>
  <w:style w:type="paragraph" w:styleId="Textodenotaderodap">
    <w:name w:val="footnote text"/>
    <w:basedOn w:val="Normal"/>
    <w:rsid w:val="00DA0B59"/>
    <w:pPr>
      <w:suppressLineNumbers/>
      <w:ind w:left="283" w:hanging="283"/>
    </w:pPr>
    <w:rPr>
      <w:sz w:val="20"/>
      <w:szCs w:val="20"/>
    </w:rPr>
  </w:style>
  <w:style w:type="paragraph" w:styleId="Textodebalo">
    <w:name w:val="Balloon Text"/>
    <w:basedOn w:val="Normal"/>
    <w:link w:val="TextodebaloChar"/>
    <w:uiPriority w:val="99"/>
    <w:semiHidden/>
    <w:unhideWhenUsed/>
    <w:rsid w:val="00EC6322"/>
    <w:rPr>
      <w:rFonts w:ascii="Tahoma" w:hAnsi="Tahoma" w:cs="Mangal"/>
      <w:sz w:val="16"/>
      <w:szCs w:val="14"/>
    </w:rPr>
  </w:style>
  <w:style w:type="character" w:customStyle="1" w:styleId="TextodebaloChar">
    <w:name w:val="Texto de balão Char"/>
    <w:basedOn w:val="Fontepargpadro"/>
    <w:link w:val="Textodebalo"/>
    <w:uiPriority w:val="99"/>
    <w:semiHidden/>
    <w:rsid w:val="00EC6322"/>
    <w:rPr>
      <w:rFonts w:ascii="Tahoma" w:eastAsia="SimSun"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rnal.faculdadecienciasdavida.com.br/index.php/RBCV/article/view/335/26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4013/ctc.2013.61.01" TargetMode="External"/><Relationship Id="rId4" Type="http://schemas.openxmlformats.org/officeDocument/2006/relationships/webSettings" Target="webSettings.xml"/><Relationship Id="rId9" Type="http://schemas.openxmlformats.org/officeDocument/2006/relationships/hyperlink" Target="http://dx.doi.org/10.1590/S1414-9893200100020000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hfsousa2010@gmail.com" TargetMode="External"/><Relationship Id="rId1" Type="http://schemas.openxmlformats.org/officeDocument/2006/relationships/hyperlink" Target="mailto:midiaifm@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4785</Words>
  <Characters>25839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30563</CharactersWithSpaces>
  <SharedDoc>false</SharedDoc>
  <HLinks>
    <vt:vector size="30" baseType="variant">
      <vt:variant>
        <vt:i4>589901</vt:i4>
      </vt:variant>
      <vt:variant>
        <vt:i4>6</vt:i4>
      </vt:variant>
      <vt:variant>
        <vt:i4>0</vt:i4>
      </vt:variant>
      <vt:variant>
        <vt:i4>5</vt:i4>
      </vt:variant>
      <vt:variant>
        <vt:lpwstr>http://jornal.faculdadecienciasdavida.com.br/index.php/RBCV/article/view/335/267</vt:lpwstr>
      </vt:variant>
      <vt:variant>
        <vt:lpwstr/>
      </vt:variant>
      <vt:variant>
        <vt:i4>1507396</vt:i4>
      </vt:variant>
      <vt:variant>
        <vt:i4>3</vt:i4>
      </vt:variant>
      <vt:variant>
        <vt:i4>0</vt:i4>
      </vt:variant>
      <vt:variant>
        <vt:i4>5</vt:i4>
      </vt:variant>
      <vt:variant>
        <vt:lpwstr>http://dx.doi.org/10.4013/ctc.2013.61.01</vt:lpwstr>
      </vt:variant>
      <vt:variant>
        <vt:lpwstr/>
      </vt:variant>
      <vt:variant>
        <vt:i4>5177375</vt:i4>
      </vt:variant>
      <vt:variant>
        <vt:i4>0</vt:i4>
      </vt:variant>
      <vt:variant>
        <vt:i4>0</vt:i4>
      </vt:variant>
      <vt:variant>
        <vt:i4>5</vt:i4>
      </vt:variant>
      <vt:variant>
        <vt:lpwstr>http://dx.doi.org/10.1590/S1414-98932001000200007</vt:lpwstr>
      </vt:variant>
      <vt:variant>
        <vt:lpwstr/>
      </vt:variant>
      <vt:variant>
        <vt:i4>589878</vt:i4>
      </vt:variant>
      <vt:variant>
        <vt:i4>3</vt:i4>
      </vt:variant>
      <vt:variant>
        <vt:i4>0</vt:i4>
      </vt:variant>
      <vt:variant>
        <vt:i4>5</vt:i4>
      </vt:variant>
      <vt:variant>
        <vt:lpwstr>mailto:hfsousa2010@gmail.com</vt:lpwstr>
      </vt:variant>
      <vt:variant>
        <vt:lpwstr/>
      </vt:variant>
      <vt:variant>
        <vt:i4>6881351</vt:i4>
      </vt:variant>
      <vt:variant>
        <vt:i4>0</vt:i4>
      </vt:variant>
      <vt:variant>
        <vt:i4>0</vt:i4>
      </vt:variant>
      <vt:variant>
        <vt:i4>5</vt:i4>
      </vt:variant>
      <vt:variant>
        <vt:lpwstr>mailto:midiaifm@gmail.com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cp:lastModifiedBy>bruno.gois</cp:lastModifiedBy>
  <cp:revision>3</cp:revision>
  <cp:lastPrinted>2018-11-05T17:51:00Z</cp:lastPrinted>
  <dcterms:created xsi:type="dcterms:W3CDTF">2018-11-05T17:51:00Z</dcterms:created>
  <dcterms:modified xsi:type="dcterms:W3CDTF">2018-11-05T19:12:00Z</dcterms:modified>
</cp:coreProperties>
</file>